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FE9FC" w14:textId="77777777" w:rsidR="007D7EB7" w:rsidRDefault="007D7EB7" w:rsidP="00D47A18">
      <w:pPr>
        <w:ind w:firstLine="0"/>
        <w:jc w:val="center"/>
      </w:pPr>
      <w:r>
        <w:t>Федеральное государственное бюджетное образовательное учреждение высшего профессионального образования</w:t>
      </w:r>
    </w:p>
    <w:p w14:paraId="0D805D70" w14:textId="77777777" w:rsidR="007D7EB7" w:rsidRDefault="007D7EB7" w:rsidP="00D47A18">
      <w:pPr>
        <w:ind w:firstLine="0"/>
        <w:jc w:val="center"/>
      </w:pPr>
      <w:r>
        <w:t>«Себряковский филиал Волгоградского Государственного Технического университета»</w:t>
      </w:r>
    </w:p>
    <w:p w14:paraId="108D52F4" w14:textId="77777777" w:rsidR="007D7EB7" w:rsidRDefault="007D7EB7" w:rsidP="00D47A18">
      <w:pPr>
        <w:ind w:firstLine="0"/>
        <w:jc w:val="center"/>
      </w:pPr>
    </w:p>
    <w:p w14:paraId="18B41623" w14:textId="77777777" w:rsidR="007D7EB7" w:rsidRPr="00D47A18" w:rsidRDefault="007D7EB7" w:rsidP="00D47A18">
      <w:pPr>
        <w:ind w:firstLine="0"/>
        <w:jc w:val="center"/>
        <w:rPr>
          <w:b/>
        </w:rPr>
      </w:pPr>
      <w:r w:rsidRPr="00D47A18">
        <w:rPr>
          <w:b/>
        </w:rPr>
        <w:t>Отделение СПО</w:t>
      </w:r>
    </w:p>
    <w:p w14:paraId="4FC1F8BB" w14:textId="77777777" w:rsidR="007D7EB7" w:rsidRDefault="007D7EB7" w:rsidP="00D47A18">
      <w:pPr>
        <w:ind w:firstLine="0"/>
      </w:pPr>
    </w:p>
    <w:p w14:paraId="5F700ABA" w14:textId="77777777" w:rsidR="00D47A18" w:rsidRDefault="00D47A18" w:rsidP="00D47A18">
      <w:pPr>
        <w:ind w:firstLine="0"/>
      </w:pPr>
    </w:p>
    <w:p w14:paraId="685877E1" w14:textId="77777777" w:rsidR="00D47A18" w:rsidRDefault="00D47A18" w:rsidP="00D47A18">
      <w:pPr>
        <w:ind w:firstLine="0"/>
      </w:pPr>
    </w:p>
    <w:p w14:paraId="24FBEBAD" w14:textId="77777777" w:rsidR="00D47A18" w:rsidRDefault="00D47A18" w:rsidP="00D47A18">
      <w:pPr>
        <w:ind w:firstLine="0"/>
      </w:pPr>
    </w:p>
    <w:p w14:paraId="6F8D05C4" w14:textId="77777777" w:rsidR="00D47A18" w:rsidRDefault="00D47A18" w:rsidP="00D47A18">
      <w:pPr>
        <w:ind w:firstLine="0"/>
      </w:pPr>
    </w:p>
    <w:p w14:paraId="102319B5" w14:textId="77777777" w:rsidR="007D7EB7" w:rsidRPr="003811CE" w:rsidRDefault="000A2C33" w:rsidP="00D47A18">
      <w:pPr>
        <w:ind w:firstLine="0"/>
        <w:jc w:val="center"/>
        <w:rPr>
          <w:b/>
        </w:rPr>
      </w:pPr>
      <w:r>
        <w:rPr>
          <w:b/>
        </w:rPr>
        <w:t>ОТЧЁТ ПО ПРАКТИЧЕСКОЙ №</w:t>
      </w:r>
      <w:r w:rsidR="003811CE" w:rsidRPr="003811CE">
        <w:rPr>
          <w:b/>
        </w:rPr>
        <w:t>7</w:t>
      </w:r>
    </w:p>
    <w:p w14:paraId="2D9DDEA4" w14:textId="77777777" w:rsidR="007D7EB7" w:rsidRPr="007D7EB7" w:rsidRDefault="007D7EB7" w:rsidP="00D47A18">
      <w:pPr>
        <w:ind w:firstLine="0"/>
        <w:jc w:val="center"/>
      </w:pPr>
      <w:r w:rsidRPr="007D7EB7">
        <w:t>Тема: «</w:t>
      </w:r>
      <w:r w:rsidR="003811CE">
        <w:t>УПРАВЛЕНИЕ РИСКАМИ</w:t>
      </w:r>
      <w:r w:rsidR="00C41A99" w:rsidRPr="00C41A99">
        <w:t xml:space="preserve"> ПРОЕКТА</w:t>
      </w:r>
      <w:r w:rsidRPr="007D7EB7">
        <w:t>»</w:t>
      </w:r>
    </w:p>
    <w:p w14:paraId="1C7301A9" w14:textId="77777777" w:rsidR="007D7EB7" w:rsidRDefault="007D7EB7" w:rsidP="00D47A18"/>
    <w:p w14:paraId="03138032" w14:textId="77777777" w:rsidR="007D7EB7" w:rsidRDefault="007D7EB7" w:rsidP="00D47A18"/>
    <w:p w14:paraId="1E29C2CD" w14:textId="77777777" w:rsidR="00D47A18" w:rsidRDefault="00D47A18" w:rsidP="00D47A18"/>
    <w:p w14:paraId="4322F4A3" w14:textId="77777777" w:rsidR="00D47A18" w:rsidRDefault="00D47A18" w:rsidP="00D47A18"/>
    <w:p w14:paraId="2F0FEA9B" w14:textId="77777777" w:rsidR="007D7EB7" w:rsidRDefault="007D7EB7" w:rsidP="00D47A18"/>
    <w:p w14:paraId="10A80A89" w14:textId="77777777" w:rsidR="00D47A18" w:rsidRDefault="00D47A18" w:rsidP="00D47A18"/>
    <w:p w14:paraId="19A8F586" w14:textId="77777777" w:rsidR="00D47A18" w:rsidRDefault="00D47A18" w:rsidP="00D47A18"/>
    <w:p w14:paraId="01DFE1A9" w14:textId="77777777" w:rsidR="007D7EB7" w:rsidRDefault="007D7EB7" w:rsidP="00D47A18">
      <w:pPr>
        <w:spacing w:line="240" w:lineRule="auto"/>
        <w:jc w:val="right"/>
      </w:pPr>
      <w:r>
        <w:t>Выполнил:</w:t>
      </w:r>
    </w:p>
    <w:p w14:paraId="04E0CAEB" w14:textId="4C4ED1E3" w:rsidR="007D7EB7" w:rsidRPr="001E51ED" w:rsidRDefault="007D7EB7" w:rsidP="00D47A18">
      <w:pPr>
        <w:spacing w:line="240" w:lineRule="auto"/>
        <w:jc w:val="right"/>
        <w:rPr>
          <w:lang w:val="en-US"/>
        </w:rPr>
      </w:pPr>
      <w:r>
        <w:t xml:space="preserve"> ст. гр. </w:t>
      </w:r>
      <w:r w:rsidR="001E51ED" w:rsidRPr="001E51ED">
        <w:t>&lt;</w:t>
      </w:r>
      <w:r w:rsidR="001E51ED">
        <w:rPr>
          <w:lang w:val="en-US"/>
        </w:rPr>
        <w:t>Group&gt;</w:t>
      </w:r>
    </w:p>
    <w:p w14:paraId="3ED54788" w14:textId="671256CA" w:rsidR="007D7EB7" w:rsidRPr="001E51ED" w:rsidRDefault="001E51ED" w:rsidP="00D47A18">
      <w:pPr>
        <w:spacing w:line="240" w:lineRule="auto"/>
        <w:jc w:val="right"/>
        <w:rPr>
          <w:lang w:val="en-US"/>
        </w:rPr>
      </w:pPr>
      <w:r>
        <w:rPr>
          <w:lang w:val="en-US"/>
        </w:rPr>
        <w:t>&lt;Full Name&gt;</w:t>
      </w:r>
    </w:p>
    <w:p w14:paraId="1725F2AF" w14:textId="77777777" w:rsidR="007D7EB7" w:rsidRDefault="007D7EB7" w:rsidP="00D47A18">
      <w:pPr>
        <w:spacing w:line="240" w:lineRule="auto"/>
        <w:jc w:val="right"/>
      </w:pPr>
      <w:r>
        <w:t>Проверил:</w:t>
      </w:r>
    </w:p>
    <w:p w14:paraId="25DBD64D" w14:textId="77777777" w:rsidR="00D47A18" w:rsidRDefault="007D7EB7" w:rsidP="00D47A18">
      <w:pPr>
        <w:spacing w:line="240" w:lineRule="auto"/>
        <w:jc w:val="right"/>
      </w:pPr>
      <w:r>
        <w:t>преподаватель:</w:t>
      </w:r>
    </w:p>
    <w:p w14:paraId="7DB920AF" w14:textId="7CE3099E" w:rsidR="00D47A18" w:rsidRPr="001E51ED" w:rsidRDefault="001E51ED" w:rsidP="00D47A18">
      <w:pPr>
        <w:spacing w:line="240" w:lineRule="auto"/>
        <w:jc w:val="right"/>
        <w:rPr>
          <w:lang w:val="en-US"/>
        </w:rPr>
      </w:pPr>
      <w:r>
        <w:rPr>
          <w:lang w:val="en-US"/>
        </w:rPr>
        <w:t>&lt;Full Name&gt;</w:t>
      </w:r>
    </w:p>
    <w:p w14:paraId="4227DC2D" w14:textId="77777777" w:rsidR="00D47A18" w:rsidRDefault="00D47A18" w:rsidP="00D47A18"/>
    <w:p w14:paraId="0E3674E8" w14:textId="77777777" w:rsidR="00D47A18" w:rsidRDefault="00D47A18" w:rsidP="00D47A18"/>
    <w:p w14:paraId="5A2F917E" w14:textId="77777777" w:rsidR="00D47A18" w:rsidRDefault="00D47A18" w:rsidP="00D47A18"/>
    <w:p w14:paraId="6DED64DD" w14:textId="77777777" w:rsidR="00D47A18" w:rsidRDefault="00D47A18" w:rsidP="00E120B9">
      <w:pPr>
        <w:ind w:firstLine="0"/>
      </w:pPr>
    </w:p>
    <w:p w14:paraId="4743672C" w14:textId="156D9C81" w:rsidR="007D7EB7" w:rsidRPr="00D47A18" w:rsidRDefault="001E51ED" w:rsidP="00D47A18">
      <w:pPr>
        <w:ind w:firstLine="0"/>
        <w:jc w:val="center"/>
      </w:pPr>
      <w:r>
        <w:rPr>
          <w:lang w:val="en-US"/>
        </w:rPr>
        <w:t>&lt;City&gt;</w:t>
      </w:r>
      <w:r w:rsidR="00D47A18">
        <w:t>, 2023</w:t>
      </w:r>
      <w:r w:rsidR="00D046C1" w:rsidRPr="007D7EB7">
        <w:rPr>
          <w:b/>
        </w:rPr>
        <w:br w:type="page"/>
      </w:r>
    </w:p>
    <w:p w14:paraId="7FD9EA9B" w14:textId="77777777" w:rsidR="00D47A18" w:rsidRDefault="007D7EB7" w:rsidP="00D47A18">
      <w:r>
        <w:lastRenderedPageBreak/>
        <w:t xml:space="preserve">Цель: </w:t>
      </w:r>
      <w:r w:rsidR="000E5703">
        <w:t>Провести качественный и количественный анализы рисков проекта</w:t>
      </w:r>
      <w:r w:rsidR="00C41A99">
        <w:t>.</w:t>
      </w:r>
    </w:p>
    <w:p w14:paraId="660A4487" w14:textId="77777777" w:rsidR="000A2C33" w:rsidRDefault="000A2C33" w:rsidP="00D47A18"/>
    <w:p w14:paraId="32F3D193" w14:textId="77777777" w:rsidR="00D47A18" w:rsidRPr="00C41A99" w:rsidRDefault="00D47A18" w:rsidP="00C41A99">
      <w:pPr>
        <w:pStyle w:val="1"/>
      </w:pPr>
      <w:r w:rsidRPr="00C41A99">
        <w:t>КРАТКОЕ ТЕОРЕТИЧЕСКОЕ ОБОСНОВАНИЕ</w:t>
      </w:r>
    </w:p>
    <w:p w14:paraId="4EBBC8C5" w14:textId="77777777" w:rsidR="003811CE" w:rsidRDefault="003811CE" w:rsidP="003811CE"/>
    <w:p w14:paraId="15121BA4" w14:textId="77777777" w:rsidR="003811CE" w:rsidRDefault="003811CE" w:rsidP="003811CE">
      <w:r>
        <w:t>Качественный анализ рисков подразумевает оценку рисков в терминах их возможных последствий, используя установленные критерии. Критерии могут учитывать затраты, официальные и предписанные требования, социально-экономические аспекты и факторы внешней среды, интересы заказчика, приоритеты и иные исходные данные для оценки. Результат процесса качественной оценки</w:t>
      </w:r>
      <w:r w:rsidR="000E5703">
        <w:t xml:space="preserve"> </w:t>
      </w:r>
      <w:r>
        <w:t>– определение градации рисков по их вероятности и последствиям.</w:t>
      </w:r>
    </w:p>
    <w:p w14:paraId="72BB0F88" w14:textId="77777777" w:rsidR="003811CE" w:rsidRDefault="003811CE" w:rsidP="003811CE">
      <w:r>
        <w:t>Основная проблема управления рисками заключается в размере перечня рисков, полученного на этапе идентификации. Управлять всеми выявленными рисками невозможно, так как это требует больших финансовых и кадровых затрат. Основные задачи качественного анализа состоят в разделении рисков на группы и расположении их в порядке приоритетов. Классифицировать риски можно, например, по их временной близости. Так, близкие риски должны иметь более высокий приоритет, чем риски, которые могут случиться в отдаленном будущем. Расположения рисков по степени их важности для дальнейшего анализа или планирования реагирования на риски может быть выполнено путем оценки вероятности их возникновения и воздействия на проект. Качественный анализ рисков – быстрый и недорогой способ установки приоритетов – выполняется на протяжении всего жизненного цикла проекта и должен отражать все изменения, относящиеся к рискам проекта.</w:t>
      </w:r>
    </w:p>
    <w:p w14:paraId="0D4FD403" w14:textId="77777777" w:rsidR="003811CE" w:rsidRDefault="003811CE" w:rsidP="003811CE">
      <w:pPr>
        <w:ind w:firstLine="0"/>
        <w:jc w:val="center"/>
      </w:pPr>
      <w:r>
        <w:rPr>
          <w:noProof/>
        </w:rPr>
        <w:lastRenderedPageBreak/>
        <w:drawing>
          <wp:inline distT="0" distB="0" distL="0" distR="0" wp14:anchorId="6CBAD44B" wp14:editId="566F2AD2">
            <wp:extent cx="6029325" cy="3560445"/>
            <wp:effectExtent l="0" t="0" r="952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29325" cy="3560445"/>
                    </a:xfrm>
                    <a:prstGeom prst="rect">
                      <a:avLst/>
                    </a:prstGeom>
                    <a:noFill/>
                  </pic:spPr>
                </pic:pic>
              </a:graphicData>
            </a:graphic>
          </wp:inline>
        </w:drawing>
      </w:r>
    </w:p>
    <w:p w14:paraId="4A853774" w14:textId="77777777" w:rsidR="003811CE" w:rsidRDefault="003811CE" w:rsidP="003811CE">
      <w:pPr>
        <w:ind w:firstLine="0"/>
        <w:jc w:val="center"/>
      </w:pPr>
      <w:r w:rsidRPr="003811CE">
        <w:t>Рис. 30. Отображение миграции риска A в матрице воздействия риска</w:t>
      </w:r>
    </w:p>
    <w:p w14:paraId="73AD381A" w14:textId="77777777" w:rsidR="003811CE" w:rsidRDefault="003811CE" w:rsidP="003811CE">
      <w:pPr>
        <w:ind w:firstLine="0"/>
        <w:jc w:val="both"/>
      </w:pPr>
    </w:p>
    <w:p w14:paraId="574E2AEA" w14:textId="77777777" w:rsidR="003811CE" w:rsidRDefault="003811CE" w:rsidP="003811CE">
      <w:pPr>
        <w:jc w:val="both"/>
      </w:pPr>
      <w:r>
        <w:t>Матрица вероятностей и последствий – инструмент, позволяющий определять ранг риска отдельно для каждой цели, например, для стоимости, времени или содержания. Ранг риска помогает управлять реагированием на риски. Например, для рисков, расположенных в зоне высокого риска (область красного цвета) матрицы (рис. 30), необходимы предупредительные операции и агрессивная стратегия реагирования. Для угроз, расположенных в зоне низкого риска (зеленый цвет), осуществление предупредительных операций может не потребоваться.</w:t>
      </w:r>
    </w:p>
    <w:p w14:paraId="6CD13B61" w14:textId="77777777" w:rsidR="003811CE" w:rsidRDefault="003811CE" w:rsidP="003811CE">
      <w:pPr>
        <w:jc w:val="both"/>
      </w:pPr>
      <w:r>
        <w:t>Матрица вероятностей и последствий позволяет отслеживать динамическую миграцию рисков. На рисунке 30 показан пример изменения ранга риска A с течением времени.</w:t>
      </w:r>
    </w:p>
    <w:p w14:paraId="31DFF96A" w14:textId="77777777" w:rsidR="003811CE" w:rsidRDefault="003811CE" w:rsidP="003811CE">
      <w:r>
        <w:t xml:space="preserve">Количественный анализ рисков обычно выполняется для рисков, которые были квалифицированы в результате качественного анализа. При количественном анализе также оцениваются вероятности возникновения рисков и размеры ущерба/выгоды; здесь анализируются риски, имеющие </w:t>
      </w:r>
      <w:r>
        <w:lastRenderedPageBreak/>
        <w:t>высокие и умеренные ранги. Выбор методов анализа определяется для каждого проекта и зависит от наличия времени и от бюджета.</w:t>
      </w:r>
    </w:p>
    <w:p w14:paraId="7870370A" w14:textId="77777777" w:rsidR="003811CE" w:rsidRDefault="003811CE" w:rsidP="003811CE">
      <w:r>
        <w:t>Исходной информацией для количественного анализа рисков служат:</w:t>
      </w:r>
    </w:p>
    <w:p w14:paraId="03FC6B2E" w14:textId="77777777" w:rsidR="003811CE" w:rsidRDefault="003811CE" w:rsidP="003811CE">
      <w:r>
        <w:t>○</w:t>
      </w:r>
      <w:r>
        <w:tab/>
        <w:t>активы организационного процесса;</w:t>
      </w:r>
    </w:p>
    <w:p w14:paraId="05A87099" w14:textId="77777777" w:rsidR="003811CE" w:rsidRDefault="003811CE" w:rsidP="003811CE">
      <w:r>
        <w:t>○</w:t>
      </w:r>
      <w:r>
        <w:tab/>
        <w:t>описание содержания проекта;</w:t>
      </w:r>
    </w:p>
    <w:p w14:paraId="29F4497E" w14:textId="77777777" w:rsidR="003811CE" w:rsidRDefault="003811CE" w:rsidP="003811CE">
      <w:r>
        <w:t>○</w:t>
      </w:r>
      <w:r>
        <w:tab/>
        <w:t>план управления рисками;</w:t>
      </w:r>
    </w:p>
    <w:p w14:paraId="1BB42B2F" w14:textId="77777777" w:rsidR="003811CE" w:rsidRDefault="003811CE" w:rsidP="003811CE">
      <w:r>
        <w:t>○</w:t>
      </w:r>
      <w:r>
        <w:tab/>
        <w:t>реестр рисков;</w:t>
      </w:r>
    </w:p>
    <w:p w14:paraId="69E97DB1" w14:textId="77777777" w:rsidR="003811CE" w:rsidRDefault="003811CE" w:rsidP="003811CE">
      <w:r>
        <w:t>○</w:t>
      </w:r>
      <w:r>
        <w:tab/>
        <w:t>план управления проектом.</w:t>
      </w:r>
    </w:p>
    <w:p w14:paraId="3D87E46A" w14:textId="77777777" w:rsidR="003811CE" w:rsidRDefault="003811CE" w:rsidP="003811CE">
      <w:r>
        <w:t>Наиболее распространенным методом количественного анализа является анализ дерева решений. Дерево решений – это графический инструмент для анализа проектных ситуаций, находящихся под воздействием риска. Дерево решений описывает рассматриваемую ситуацию с учетом каждой из имеющихся возможностей выбора и возможного сценария. Дерево решений имеет пять элементов (рисунок 31).</w:t>
      </w:r>
    </w:p>
    <w:p w14:paraId="21528CAD" w14:textId="77777777" w:rsidR="003811CE" w:rsidRDefault="003811CE" w:rsidP="003811CE"/>
    <w:p w14:paraId="76EB9E56" w14:textId="77777777" w:rsidR="003811CE" w:rsidRDefault="003811CE" w:rsidP="003811CE">
      <w:pPr>
        <w:ind w:firstLine="0"/>
        <w:jc w:val="center"/>
      </w:pPr>
      <w:r>
        <w:rPr>
          <w:noProof/>
        </w:rPr>
        <w:drawing>
          <wp:inline distT="0" distB="0" distL="0" distR="0" wp14:anchorId="01CA9196" wp14:editId="533FCC0E">
            <wp:extent cx="5350064" cy="3786996"/>
            <wp:effectExtent l="0" t="0" r="3175"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54393" cy="3790060"/>
                    </a:xfrm>
                    <a:prstGeom prst="rect">
                      <a:avLst/>
                    </a:prstGeom>
                    <a:noFill/>
                  </pic:spPr>
                </pic:pic>
              </a:graphicData>
            </a:graphic>
          </wp:inline>
        </w:drawing>
      </w:r>
    </w:p>
    <w:p w14:paraId="4826531C" w14:textId="77777777" w:rsidR="003811CE" w:rsidRDefault="003811CE" w:rsidP="003811CE">
      <w:pPr>
        <w:ind w:firstLine="0"/>
        <w:jc w:val="center"/>
      </w:pPr>
      <w:r w:rsidRPr="003811CE">
        <w:t>Рис. 31. Дерево решений для проектной ситуации, находящейся под воздействием риска</w:t>
      </w:r>
    </w:p>
    <w:p w14:paraId="014F3B68" w14:textId="77777777" w:rsidR="003811CE" w:rsidRDefault="003811CE" w:rsidP="003811CE">
      <w:pPr>
        <w:jc w:val="both"/>
      </w:pPr>
      <w:r>
        <w:lastRenderedPageBreak/>
        <w:t>Точки принятия решений – это моменты времени, когда происходит выбор альтернатив.</w:t>
      </w:r>
    </w:p>
    <w:p w14:paraId="57A6BD47" w14:textId="77777777" w:rsidR="003811CE" w:rsidRDefault="003811CE" w:rsidP="003811CE">
      <w:pPr>
        <w:jc w:val="both"/>
      </w:pPr>
      <w:r>
        <w:t>Точка случайного события (точка возникновения последствий) – момент времени, когда с тем или иным результатом наступает случайное событие.</w:t>
      </w:r>
    </w:p>
    <w:p w14:paraId="32B824FC" w14:textId="77777777" w:rsidR="003811CE" w:rsidRDefault="003811CE" w:rsidP="003811CE">
      <w:pPr>
        <w:jc w:val="both"/>
      </w:pPr>
      <w:r>
        <w:t>Ветви – линии, соединяющие точки принятия решений с точками случайного события. Ветви, исходящие из точки принятия решений, показывают возможные решения, а линии, исходящие из узлов случайных событий, представляют возможные результаты случайного события.</w:t>
      </w:r>
    </w:p>
    <w:p w14:paraId="5D6FB4D5" w14:textId="77777777" w:rsidR="003811CE" w:rsidRDefault="003811CE" w:rsidP="003811CE">
      <w:pPr>
        <w:jc w:val="both"/>
      </w:pPr>
      <w:r>
        <w:t>Вероятности – числовые значения, расположенные на ветвях дерева и обозначающие вероятность наступления этих событий. Сумма вероятностей в каждой точке принятия решений равна 1.</w:t>
      </w:r>
    </w:p>
    <w:p w14:paraId="21792EB1" w14:textId="77777777" w:rsidR="003811CE" w:rsidRDefault="003811CE" w:rsidP="003811CE">
      <w:pPr>
        <w:jc w:val="both"/>
      </w:pPr>
      <w:r>
        <w:t>Ожидаемое значение (последствия) – это расположенное в конце ветви количественное выражение каждой альтернативы.</w:t>
      </w:r>
    </w:p>
    <w:p w14:paraId="4100F193" w14:textId="77777777" w:rsidR="00725EF5" w:rsidRDefault="003811CE" w:rsidP="003811CE">
      <w:pPr>
        <w:jc w:val="both"/>
      </w:pPr>
      <w:r>
        <w:t>Модель создается слева направо. Построение начинается с отображения точки принятия решения, имеющей вид квадрата. Из этой точки рисуют количество ветвей, равное числу проектных альтернативных решений. В конце каждой ветви рисуют кружок, обозначающий возникновение допустимого случайного события, из которого выходят две ветви – возможные результаты вероятностного события. Ветви дерева берут свое начало в точке принятия решений и разрастаются до получения конечных результатов. Путь вдоль ветвей дерева состоит из последовательности отдельных решений и случайных событий.</w:t>
      </w:r>
    </w:p>
    <w:p w14:paraId="5C4073DC" w14:textId="77777777" w:rsidR="00725EF5" w:rsidRDefault="00725EF5" w:rsidP="00725EF5">
      <w:pPr>
        <w:jc w:val="both"/>
      </w:pPr>
      <w:r>
        <w:t>Дерево решений – инструмент, который позволяет наглядно провести анализ проектных решений, содержащих несколько путей решения. Такое определение данного метода дает возможность с полным основанием использовать его для принятий решений о продолжении и ходе развития проекта на шлюзах.</w:t>
      </w:r>
    </w:p>
    <w:p w14:paraId="2FA9A87F" w14:textId="77777777" w:rsidR="00725EF5" w:rsidRDefault="00725EF5" w:rsidP="00725EF5">
      <w:pPr>
        <w:jc w:val="both"/>
      </w:pPr>
      <w:r>
        <w:t xml:space="preserve">По итогам проведения качественного и количественного анализа риска необходимо выработать четкое представление о стратегиях, используемых для реагирования на каждый проектный риск. Стратегия реагирования на риски – </w:t>
      </w:r>
      <w:r>
        <w:lastRenderedPageBreak/>
        <w:t>совокупность методов, которая будет использована для снижения негативных последствий или вероятности реализации идентифицированных рисков. Для каждого риска необходимо выбрать свою стратегию, которая обеспечит наиболее эффективную работу с ним.</w:t>
      </w:r>
    </w:p>
    <w:p w14:paraId="1AB1E75B" w14:textId="77777777" w:rsidR="00725EF5" w:rsidRDefault="00725EF5" w:rsidP="00725EF5">
      <w:pPr>
        <w:jc w:val="both"/>
      </w:pPr>
      <w:r>
        <w:t>Существует четыре типовые стратегии реагирования на появление негативных рисков: уклонение, передача, принятие и снижение.</w:t>
      </w:r>
    </w:p>
    <w:p w14:paraId="36055205" w14:textId="77777777" w:rsidR="00725EF5" w:rsidRPr="00725EF5" w:rsidRDefault="00725EF5" w:rsidP="00725EF5">
      <w:pPr>
        <w:pStyle w:val="2"/>
        <w:ind w:left="0" w:firstLine="709"/>
        <w:jc w:val="both"/>
        <w:rPr>
          <w:b w:val="0"/>
        </w:rPr>
      </w:pPr>
      <w:r w:rsidRPr="00725EF5">
        <w:rPr>
          <w:b w:val="0"/>
        </w:rPr>
        <w:t>Уклонение от риска. Стратегия состоит в полном исключении воздействия риска на проект за счет изменений характера проекта или плана управления проектом. Некоторых рисков, возникающих на ранних стадиях проекта, например, из-за отсутствия четкого определения требований заказчика, можно избежать, затратив дополнительное время и увеличив трудозатраты на их выявление. Однако эта стратегия не может полностью исключить риск.</w:t>
      </w:r>
    </w:p>
    <w:p w14:paraId="052859FE" w14:textId="77777777" w:rsidR="00725EF5" w:rsidRPr="00725EF5" w:rsidRDefault="00725EF5" w:rsidP="00725EF5">
      <w:pPr>
        <w:pStyle w:val="2"/>
        <w:ind w:left="0" w:firstLine="709"/>
        <w:jc w:val="both"/>
        <w:rPr>
          <w:b w:val="0"/>
        </w:rPr>
      </w:pPr>
      <w:r w:rsidRPr="00725EF5">
        <w:rPr>
          <w:b w:val="0"/>
        </w:rPr>
        <w:t>Передача риска. Стратегия передачи риска также исключает угрозу риска путем передачи негативных последствий риска с ответственностью за реагирование на риск на третью сторону. Передача риска обычно сопровождается выплатой премии за риск стороне, принимающей на себя риск и ответственность за его управление. Сам риск при этом не устраняется. Условия передачи ответственности за определенные риски третьей стороне могут определяться в контракте.</w:t>
      </w:r>
    </w:p>
    <w:p w14:paraId="78112662" w14:textId="77777777" w:rsidR="00725EF5" w:rsidRPr="00725EF5" w:rsidRDefault="00725EF5" w:rsidP="00725EF5">
      <w:pPr>
        <w:pStyle w:val="2"/>
        <w:ind w:left="0" w:firstLine="709"/>
        <w:jc w:val="both"/>
        <w:rPr>
          <w:b w:val="0"/>
        </w:rPr>
      </w:pPr>
      <w:r w:rsidRPr="00725EF5">
        <w:rPr>
          <w:b w:val="0"/>
        </w:rPr>
        <w:t>Принятие риска. Стратегия означает решение команды не уклоняться от риска. При пассивном принятии риска команда ничего не предпринимает в отношении риска и в случае его возникновения разрабатывает способ его обхода или исправления последствий. При активном принятии риска план действий разрабатывается до того, как риск может произойти, и называется планом действий в непредвиденных обстоятельствах.</w:t>
      </w:r>
    </w:p>
    <w:p w14:paraId="44FA77E2" w14:textId="77777777" w:rsidR="00C41A99" w:rsidRPr="00C41A99" w:rsidRDefault="00725EF5" w:rsidP="00725EF5">
      <w:pPr>
        <w:pStyle w:val="2"/>
        <w:ind w:left="0" w:firstLine="709"/>
        <w:jc w:val="both"/>
      </w:pPr>
      <w:r w:rsidRPr="00725EF5">
        <w:rPr>
          <w:b w:val="0"/>
        </w:rPr>
        <w:t xml:space="preserve">Снижение риска. Стратегия снижения риска предполагает усилие, направленное на понижение вероятности и/или последствий риска до приемлемых пределов. В стратегии снижения используется включение в план проекта дополнительной работы, которая будет выполняться независимо от </w:t>
      </w:r>
      <w:r w:rsidRPr="00725EF5">
        <w:rPr>
          <w:b w:val="0"/>
        </w:rPr>
        <w:lastRenderedPageBreak/>
        <w:t>возникновения риска, как, например, проведение дополнительного тестирования функциональности информационной системы, разработка прототипа системы, дополнительное подключение к работе опытных сотрудников.</w:t>
      </w:r>
      <w:r w:rsidR="00C41A99">
        <w:br w:type="page"/>
      </w:r>
    </w:p>
    <w:p w14:paraId="57D603B9" w14:textId="77777777" w:rsidR="00D47A18" w:rsidRDefault="00D47A18" w:rsidP="00C41A99">
      <w:pPr>
        <w:pStyle w:val="1"/>
      </w:pPr>
      <w:r>
        <w:lastRenderedPageBreak/>
        <w:t>ПРАКТИЧЕСКАЯ ЧАСТЬ</w:t>
      </w:r>
    </w:p>
    <w:p w14:paraId="4859BC41" w14:textId="77777777" w:rsidR="000E5703" w:rsidRDefault="000E5703" w:rsidP="00D47A18"/>
    <w:p w14:paraId="3597E09B" w14:textId="77777777" w:rsidR="00D47A18" w:rsidRDefault="000E5703" w:rsidP="00D47A18">
      <w:pPr>
        <w:rPr>
          <w:b/>
        </w:rPr>
      </w:pPr>
      <w:r w:rsidRPr="000E5703">
        <w:rPr>
          <w:b/>
        </w:rPr>
        <w:t>Задание 1. Качественный анализ рисков</w:t>
      </w:r>
      <w:r>
        <w:rPr>
          <w:b/>
        </w:rPr>
        <w:t>.</w:t>
      </w:r>
    </w:p>
    <w:p w14:paraId="1E906FBB" w14:textId="77777777" w:rsidR="002A02EB" w:rsidRDefault="002A02EB" w:rsidP="002A02EB">
      <w:pPr>
        <w:jc w:val="both"/>
      </w:pPr>
    </w:p>
    <w:p w14:paraId="261B0F1C" w14:textId="77777777" w:rsidR="002A02EB" w:rsidRDefault="002A02EB" w:rsidP="002A02EB">
      <w:pPr>
        <w:jc w:val="both"/>
      </w:pPr>
      <w:r w:rsidRPr="002A02EB">
        <w:t xml:space="preserve">На этапе планирования, ранее, руководителем проекта были определены следующие риски, а также экспертным методом установлены вероятность и последствия их наступления (см. таблицу </w:t>
      </w:r>
      <w:r>
        <w:t>1</w:t>
      </w:r>
      <w:r w:rsidRPr="002A02EB">
        <w:t>).</w:t>
      </w:r>
    </w:p>
    <w:p w14:paraId="771F6528" w14:textId="77777777" w:rsidR="002A02EB" w:rsidRDefault="002A02EB" w:rsidP="002A02EB">
      <w:pPr>
        <w:jc w:val="both"/>
      </w:pPr>
    </w:p>
    <w:p w14:paraId="0A78B462" w14:textId="77777777" w:rsidR="000E5703" w:rsidRDefault="002A02EB" w:rsidP="002A02EB">
      <w:pPr>
        <w:jc w:val="right"/>
      </w:pPr>
      <w:r>
        <w:t>Таблица 1 – Матрица описания рисков на этапе планирования</w:t>
      </w:r>
    </w:p>
    <w:tbl>
      <w:tblPr>
        <w:tblStyle w:val="TableNormal"/>
        <w:tblW w:w="10485"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
        <w:gridCol w:w="5175"/>
        <w:gridCol w:w="1620"/>
        <w:gridCol w:w="2940"/>
      </w:tblGrid>
      <w:tr w:rsidR="002A02EB" w14:paraId="6D51C19E" w14:textId="77777777" w:rsidTr="002A02EB">
        <w:trPr>
          <w:trHeight w:val="660"/>
        </w:trPr>
        <w:tc>
          <w:tcPr>
            <w:tcW w:w="750" w:type="dxa"/>
            <w:shd w:val="clear" w:color="auto" w:fill="EBECEB"/>
          </w:tcPr>
          <w:p w14:paraId="53ACC906" w14:textId="77777777" w:rsidR="002A02EB" w:rsidRDefault="002A02EB" w:rsidP="002A02EB">
            <w:pPr>
              <w:pStyle w:val="TableParagraph"/>
              <w:jc w:val="center"/>
              <w:rPr>
                <w:b/>
              </w:rPr>
            </w:pPr>
            <w:r>
              <w:rPr>
                <w:b/>
              </w:rPr>
              <w:t>№</w:t>
            </w:r>
          </w:p>
        </w:tc>
        <w:tc>
          <w:tcPr>
            <w:tcW w:w="5175" w:type="dxa"/>
            <w:shd w:val="clear" w:color="auto" w:fill="EBECEB"/>
          </w:tcPr>
          <w:p w14:paraId="26A8D894" w14:textId="77777777" w:rsidR="002A02EB" w:rsidRDefault="002A02EB" w:rsidP="002A02EB">
            <w:pPr>
              <w:pStyle w:val="TableParagraph"/>
              <w:rPr>
                <w:b/>
              </w:rPr>
            </w:pPr>
            <w:r>
              <w:rPr>
                <w:b/>
              </w:rPr>
              <w:t>Описание</w:t>
            </w:r>
            <w:r>
              <w:rPr>
                <w:b/>
                <w:spacing w:val="55"/>
              </w:rPr>
              <w:t xml:space="preserve"> </w:t>
            </w:r>
            <w:r>
              <w:rPr>
                <w:b/>
              </w:rPr>
              <w:t>риска</w:t>
            </w:r>
          </w:p>
        </w:tc>
        <w:tc>
          <w:tcPr>
            <w:tcW w:w="1620" w:type="dxa"/>
            <w:shd w:val="clear" w:color="auto" w:fill="EBECEB"/>
          </w:tcPr>
          <w:p w14:paraId="368960BC" w14:textId="77777777" w:rsidR="002A02EB" w:rsidRDefault="002A02EB" w:rsidP="002A02EB">
            <w:pPr>
              <w:pStyle w:val="TableParagraph"/>
              <w:rPr>
                <w:b/>
              </w:rPr>
            </w:pPr>
            <w:r>
              <w:rPr>
                <w:b/>
              </w:rPr>
              <w:t>Вероятность</w:t>
            </w:r>
            <w:r>
              <w:rPr>
                <w:b/>
                <w:spacing w:val="1"/>
              </w:rPr>
              <w:t xml:space="preserve"> </w:t>
            </w:r>
            <w:r>
              <w:rPr>
                <w:b/>
              </w:rPr>
              <w:t>наступления</w:t>
            </w:r>
          </w:p>
        </w:tc>
        <w:tc>
          <w:tcPr>
            <w:tcW w:w="2940" w:type="dxa"/>
            <w:shd w:val="clear" w:color="auto" w:fill="EBECEB"/>
          </w:tcPr>
          <w:p w14:paraId="4F50E443" w14:textId="77777777" w:rsidR="002A02EB" w:rsidRDefault="002A02EB" w:rsidP="002A02EB">
            <w:pPr>
              <w:pStyle w:val="TableParagraph"/>
              <w:rPr>
                <w:b/>
              </w:rPr>
            </w:pPr>
            <w:r>
              <w:rPr>
                <w:b/>
              </w:rPr>
              <w:t>Последствие</w:t>
            </w:r>
          </w:p>
        </w:tc>
      </w:tr>
      <w:tr w:rsidR="002A02EB" w14:paraId="76D54EBB" w14:textId="77777777" w:rsidTr="002A02EB">
        <w:trPr>
          <w:trHeight w:val="915"/>
        </w:trPr>
        <w:tc>
          <w:tcPr>
            <w:tcW w:w="750" w:type="dxa"/>
            <w:shd w:val="clear" w:color="auto" w:fill="EBECEB"/>
          </w:tcPr>
          <w:p w14:paraId="747DBE16" w14:textId="77777777" w:rsidR="002A02EB" w:rsidRDefault="002A02EB" w:rsidP="002A02EB">
            <w:pPr>
              <w:pStyle w:val="TableParagraph"/>
              <w:rPr>
                <w:b/>
                <w:sz w:val="27"/>
              </w:rPr>
            </w:pPr>
          </w:p>
          <w:p w14:paraId="16F23D38" w14:textId="77777777" w:rsidR="002A02EB" w:rsidRDefault="002A02EB" w:rsidP="002A02EB">
            <w:pPr>
              <w:pStyle w:val="TableParagraph"/>
              <w:jc w:val="center"/>
            </w:pPr>
            <w:r>
              <w:t>1</w:t>
            </w:r>
            <w:r>
              <w:rPr>
                <w:spacing w:val="3"/>
              </w:rPr>
              <w:t xml:space="preserve"> </w:t>
            </w:r>
            <w:r>
              <w:t>(</w:t>
            </w:r>
            <w:r>
              <w:rPr>
                <w:b/>
                <w:position w:val="1"/>
              </w:rPr>
              <w:t>A</w:t>
            </w:r>
            <w:r>
              <w:t>)</w:t>
            </w:r>
          </w:p>
        </w:tc>
        <w:tc>
          <w:tcPr>
            <w:tcW w:w="5175" w:type="dxa"/>
            <w:shd w:val="clear" w:color="auto" w:fill="EBECEB"/>
          </w:tcPr>
          <w:p w14:paraId="66233E1F" w14:textId="77777777" w:rsidR="002A02EB" w:rsidRPr="00C22F31" w:rsidRDefault="002A02EB" w:rsidP="002A02EB">
            <w:pPr>
              <w:pStyle w:val="TableParagraph"/>
              <w:jc w:val="both"/>
              <w:rPr>
                <w:lang w:val="ru-RU"/>
              </w:rPr>
            </w:pPr>
            <w:r w:rsidRPr="00C22F31">
              <w:rPr>
                <w:lang w:val="ru-RU"/>
              </w:rPr>
              <w:t>Отсутствие</w:t>
            </w:r>
            <w:r w:rsidRPr="00C22F31">
              <w:rPr>
                <w:spacing w:val="1"/>
                <w:lang w:val="ru-RU"/>
              </w:rPr>
              <w:t xml:space="preserve"> </w:t>
            </w:r>
            <w:r w:rsidRPr="00C22F31">
              <w:rPr>
                <w:lang w:val="ru-RU"/>
              </w:rPr>
              <w:t>или</w:t>
            </w:r>
            <w:r w:rsidRPr="00C22F31">
              <w:rPr>
                <w:spacing w:val="1"/>
                <w:lang w:val="ru-RU"/>
              </w:rPr>
              <w:t xml:space="preserve"> </w:t>
            </w:r>
            <w:r w:rsidRPr="00C22F31">
              <w:rPr>
                <w:lang w:val="ru-RU"/>
              </w:rPr>
              <w:t>несвоевременное</w:t>
            </w:r>
            <w:r w:rsidRPr="00C22F31">
              <w:rPr>
                <w:spacing w:val="1"/>
                <w:lang w:val="ru-RU"/>
              </w:rPr>
              <w:t xml:space="preserve"> </w:t>
            </w:r>
            <w:r w:rsidRPr="00C22F31">
              <w:rPr>
                <w:lang w:val="ru-RU"/>
              </w:rPr>
              <w:t>выделение</w:t>
            </w:r>
            <w:r w:rsidRPr="00C22F31">
              <w:rPr>
                <w:spacing w:val="1"/>
                <w:lang w:val="ru-RU"/>
              </w:rPr>
              <w:t xml:space="preserve"> </w:t>
            </w:r>
            <w:r w:rsidRPr="00C22F31">
              <w:rPr>
                <w:lang w:val="ru-RU"/>
              </w:rPr>
              <w:t>необходимого</w:t>
            </w:r>
            <w:r w:rsidRPr="00C22F31">
              <w:rPr>
                <w:spacing w:val="1"/>
                <w:lang w:val="ru-RU"/>
              </w:rPr>
              <w:t xml:space="preserve"> </w:t>
            </w:r>
            <w:r w:rsidRPr="00C22F31">
              <w:rPr>
                <w:lang w:val="ru-RU"/>
              </w:rPr>
              <w:t>количества</w:t>
            </w:r>
            <w:r w:rsidRPr="00C22F31">
              <w:rPr>
                <w:spacing w:val="1"/>
                <w:lang w:val="ru-RU"/>
              </w:rPr>
              <w:t xml:space="preserve"> </w:t>
            </w:r>
            <w:r w:rsidRPr="00C22F31">
              <w:rPr>
                <w:lang w:val="ru-RU"/>
              </w:rPr>
              <w:t>специалистов</w:t>
            </w:r>
            <w:r w:rsidRPr="00C22F31">
              <w:rPr>
                <w:spacing w:val="1"/>
                <w:lang w:val="ru-RU"/>
              </w:rPr>
              <w:t xml:space="preserve"> </w:t>
            </w:r>
            <w:r w:rsidRPr="00C22F31">
              <w:rPr>
                <w:lang w:val="ru-RU"/>
              </w:rPr>
              <w:t>заказчика</w:t>
            </w:r>
            <w:r w:rsidRPr="00C22F31">
              <w:rPr>
                <w:spacing w:val="1"/>
                <w:lang w:val="ru-RU"/>
              </w:rPr>
              <w:t xml:space="preserve"> </w:t>
            </w:r>
            <w:r w:rsidRPr="00C22F31">
              <w:rPr>
                <w:lang w:val="ru-RU"/>
              </w:rPr>
              <w:t>требуемой</w:t>
            </w:r>
            <w:r w:rsidRPr="00C22F31">
              <w:rPr>
                <w:spacing w:val="-9"/>
                <w:lang w:val="ru-RU"/>
              </w:rPr>
              <w:t xml:space="preserve"> </w:t>
            </w:r>
            <w:r w:rsidRPr="00C22F31">
              <w:rPr>
                <w:lang w:val="ru-RU"/>
              </w:rPr>
              <w:t>квалификации</w:t>
            </w:r>
            <w:r w:rsidRPr="00C22F31">
              <w:rPr>
                <w:spacing w:val="-9"/>
                <w:lang w:val="ru-RU"/>
              </w:rPr>
              <w:t xml:space="preserve"> </w:t>
            </w:r>
            <w:r w:rsidRPr="00C22F31">
              <w:rPr>
                <w:lang w:val="ru-RU"/>
              </w:rPr>
              <w:t>для</w:t>
            </w:r>
            <w:r w:rsidRPr="00C22F31">
              <w:rPr>
                <w:spacing w:val="-9"/>
                <w:lang w:val="ru-RU"/>
              </w:rPr>
              <w:t xml:space="preserve"> </w:t>
            </w:r>
            <w:r w:rsidRPr="00C22F31">
              <w:rPr>
                <w:lang w:val="ru-RU"/>
              </w:rPr>
              <w:t>выполнения</w:t>
            </w:r>
            <w:r w:rsidRPr="00C22F31">
              <w:rPr>
                <w:spacing w:val="-9"/>
                <w:lang w:val="ru-RU"/>
              </w:rPr>
              <w:t xml:space="preserve"> </w:t>
            </w:r>
            <w:r w:rsidRPr="00C22F31">
              <w:rPr>
                <w:lang w:val="ru-RU"/>
              </w:rPr>
              <w:t>работ</w:t>
            </w:r>
          </w:p>
        </w:tc>
        <w:tc>
          <w:tcPr>
            <w:tcW w:w="1620" w:type="dxa"/>
            <w:shd w:val="clear" w:color="auto" w:fill="EBECEB"/>
          </w:tcPr>
          <w:p w14:paraId="71130E9D" w14:textId="77777777" w:rsidR="002A02EB" w:rsidRPr="00C22F31" w:rsidRDefault="002A02EB" w:rsidP="002A02EB">
            <w:pPr>
              <w:pStyle w:val="TableParagraph"/>
              <w:rPr>
                <w:b/>
                <w:sz w:val="28"/>
                <w:lang w:val="ru-RU"/>
              </w:rPr>
            </w:pPr>
          </w:p>
          <w:p w14:paraId="032497B2" w14:textId="77777777" w:rsidR="002A02EB" w:rsidRDefault="002A02EB" w:rsidP="002A02EB">
            <w:pPr>
              <w:pStyle w:val="TableParagraph"/>
            </w:pPr>
            <w:r>
              <w:t>20%</w:t>
            </w:r>
          </w:p>
        </w:tc>
        <w:tc>
          <w:tcPr>
            <w:tcW w:w="2940" w:type="dxa"/>
            <w:shd w:val="clear" w:color="auto" w:fill="EBECEB"/>
          </w:tcPr>
          <w:p w14:paraId="2DDC487A" w14:textId="77777777" w:rsidR="002A02EB" w:rsidRPr="00C22F31" w:rsidRDefault="002A02EB" w:rsidP="002A02EB">
            <w:pPr>
              <w:pStyle w:val="TableParagraph"/>
              <w:rPr>
                <w:lang w:val="ru-RU"/>
              </w:rPr>
            </w:pPr>
            <w:r w:rsidRPr="00C22F31">
              <w:rPr>
                <w:lang w:val="ru-RU"/>
              </w:rPr>
              <w:t>Задержка</w:t>
            </w:r>
            <w:r w:rsidRPr="00C22F31">
              <w:rPr>
                <w:spacing w:val="1"/>
                <w:lang w:val="ru-RU"/>
              </w:rPr>
              <w:t xml:space="preserve"> </w:t>
            </w:r>
            <w:r w:rsidRPr="00C22F31">
              <w:rPr>
                <w:lang w:val="ru-RU"/>
              </w:rPr>
              <w:t>даты</w:t>
            </w:r>
            <w:r w:rsidRPr="00C22F31">
              <w:rPr>
                <w:spacing w:val="1"/>
                <w:lang w:val="ru-RU"/>
              </w:rPr>
              <w:t xml:space="preserve"> </w:t>
            </w:r>
            <w:r w:rsidRPr="00C22F31">
              <w:rPr>
                <w:lang w:val="ru-RU"/>
              </w:rPr>
              <w:t>завершения</w:t>
            </w:r>
            <w:r w:rsidRPr="00C22F31">
              <w:rPr>
                <w:spacing w:val="-52"/>
                <w:lang w:val="ru-RU"/>
              </w:rPr>
              <w:t xml:space="preserve"> </w:t>
            </w:r>
            <w:r w:rsidRPr="00C22F31">
              <w:rPr>
                <w:lang w:val="ru-RU"/>
              </w:rPr>
              <w:t>проекта</w:t>
            </w:r>
            <w:r w:rsidRPr="00C22F31">
              <w:rPr>
                <w:spacing w:val="2"/>
                <w:lang w:val="ru-RU"/>
              </w:rPr>
              <w:t xml:space="preserve"> </w:t>
            </w:r>
            <w:r w:rsidRPr="00C22F31">
              <w:rPr>
                <w:lang w:val="ru-RU"/>
              </w:rPr>
              <w:t>на</w:t>
            </w:r>
            <w:r w:rsidRPr="00C22F31">
              <w:rPr>
                <w:spacing w:val="3"/>
                <w:lang w:val="ru-RU"/>
              </w:rPr>
              <w:t xml:space="preserve"> </w:t>
            </w:r>
            <w:r w:rsidRPr="00C22F31">
              <w:rPr>
                <w:lang w:val="ru-RU"/>
              </w:rPr>
              <w:t>1.4</w:t>
            </w:r>
            <w:r w:rsidRPr="00C22F31">
              <w:rPr>
                <w:spacing w:val="3"/>
                <w:lang w:val="ru-RU"/>
              </w:rPr>
              <w:t xml:space="preserve"> </w:t>
            </w:r>
            <w:r w:rsidRPr="00C22F31">
              <w:rPr>
                <w:lang w:val="ru-RU"/>
              </w:rPr>
              <w:t>месяца</w:t>
            </w:r>
          </w:p>
        </w:tc>
      </w:tr>
      <w:tr w:rsidR="002A02EB" w14:paraId="24DDEAAE" w14:textId="77777777" w:rsidTr="002A02EB">
        <w:trPr>
          <w:trHeight w:val="915"/>
        </w:trPr>
        <w:tc>
          <w:tcPr>
            <w:tcW w:w="750" w:type="dxa"/>
            <w:shd w:val="clear" w:color="auto" w:fill="EBECEB"/>
          </w:tcPr>
          <w:p w14:paraId="703A47AE" w14:textId="77777777" w:rsidR="002A02EB" w:rsidRPr="00C22F31" w:rsidRDefault="002A02EB" w:rsidP="002A02EB">
            <w:pPr>
              <w:pStyle w:val="TableParagraph"/>
              <w:rPr>
                <w:b/>
                <w:sz w:val="27"/>
                <w:lang w:val="ru-RU"/>
              </w:rPr>
            </w:pPr>
          </w:p>
          <w:p w14:paraId="06DCBFD9" w14:textId="77777777" w:rsidR="002A02EB" w:rsidRDefault="002A02EB" w:rsidP="002A02EB">
            <w:pPr>
              <w:pStyle w:val="TableParagraph"/>
              <w:jc w:val="center"/>
            </w:pPr>
            <w:r>
              <w:t>2</w:t>
            </w:r>
            <w:r>
              <w:rPr>
                <w:spacing w:val="8"/>
              </w:rPr>
              <w:t xml:space="preserve"> </w:t>
            </w:r>
            <w:r>
              <w:t>(</w:t>
            </w:r>
            <w:r>
              <w:rPr>
                <w:b/>
                <w:position w:val="1"/>
              </w:rPr>
              <w:t>B</w:t>
            </w:r>
            <w:r>
              <w:t>)</w:t>
            </w:r>
          </w:p>
        </w:tc>
        <w:tc>
          <w:tcPr>
            <w:tcW w:w="5175" w:type="dxa"/>
            <w:shd w:val="clear" w:color="auto" w:fill="EBECEB"/>
          </w:tcPr>
          <w:p w14:paraId="5DB88F05" w14:textId="77777777" w:rsidR="002A02EB" w:rsidRPr="00C22F31" w:rsidRDefault="002A02EB" w:rsidP="002A02EB">
            <w:pPr>
              <w:pStyle w:val="TableParagraph"/>
              <w:rPr>
                <w:lang w:val="ru-RU"/>
              </w:rPr>
            </w:pPr>
            <w:r w:rsidRPr="00C22F31">
              <w:rPr>
                <w:lang w:val="ru-RU"/>
              </w:rPr>
              <w:t>Некорректная</w:t>
            </w:r>
            <w:r w:rsidRPr="00C22F31">
              <w:rPr>
                <w:spacing w:val="1"/>
                <w:lang w:val="ru-RU"/>
              </w:rPr>
              <w:t xml:space="preserve"> </w:t>
            </w:r>
            <w:r w:rsidRPr="00C22F31">
              <w:rPr>
                <w:lang w:val="ru-RU"/>
              </w:rPr>
              <w:t>настройка</w:t>
            </w:r>
            <w:r w:rsidRPr="00C22F31">
              <w:rPr>
                <w:spacing w:val="1"/>
                <w:lang w:val="ru-RU"/>
              </w:rPr>
              <w:t xml:space="preserve"> </w:t>
            </w:r>
            <w:r w:rsidRPr="00C22F31">
              <w:rPr>
                <w:lang w:val="ru-RU"/>
              </w:rPr>
              <w:t>системы</w:t>
            </w:r>
            <w:r w:rsidRPr="00C22F31">
              <w:rPr>
                <w:spacing w:val="1"/>
                <w:lang w:val="ru-RU"/>
              </w:rPr>
              <w:t xml:space="preserve"> </w:t>
            </w:r>
            <w:r w:rsidRPr="00C22F31">
              <w:rPr>
                <w:lang w:val="ru-RU"/>
              </w:rPr>
              <w:t>(несоответствие</w:t>
            </w:r>
            <w:r w:rsidRPr="00C22F31">
              <w:rPr>
                <w:spacing w:val="-52"/>
                <w:lang w:val="ru-RU"/>
              </w:rPr>
              <w:t xml:space="preserve"> </w:t>
            </w:r>
            <w:r w:rsidRPr="00C22F31">
              <w:rPr>
                <w:lang w:val="ru-RU"/>
              </w:rPr>
              <w:t>первоначальным требованиям)</w:t>
            </w:r>
          </w:p>
        </w:tc>
        <w:tc>
          <w:tcPr>
            <w:tcW w:w="1620" w:type="dxa"/>
            <w:shd w:val="clear" w:color="auto" w:fill="EBECEB"/>
          </w:tcPr>
          <w:p w14:paraId="0C538C95" w14:textId="77777777" w:rsidR="002A02EB" w:rsidRPr="00C22F31" w:rsidRDefault="002A02EB" w:rsidP="002A02EB">
            <w:pPr>
              <w:pStyle w:val="TableParagraph"/>
              <w:rPr>
                <w:b/>
                <w:sz w:val="28"/>
                <w:lang w:val="ru-RU"/>
              </w:rPr>
            </w:pPr>
          </w:p>
          <w:p w14:paraId="7C44FAD4" w14:textId="77777777" w:rsidR="002A02EB" w:rsidRDefault="002A02EB" w:rsidP="002A02EB">
            <w:pPr>
              <w:pStyle w:val="TableParagraph"/>
            </w:pPr>
            <w:r>
              <w:t>20%</w:t>
            </w:r>
          </w:p>
        </w:tc>
        <w:tc>
          <w:tcPr>
            <w:tcW w:w="2940" w:type="dxa"/>
            <w:shd w:val="clear" w:color="auto" w:fill="EBECEB"/>
          </w:tcPr>
          <w:p w14:paraId="7D579AE3" w14:textId="77777777" w:rsidR="002A02EB" w:rsidRPr="00C22F31" w:rsidRDefault="002A02EB" w:rsidP="002A02EB">
            <w:pPr>
              <w:pStyle w:val="TableParagraph"/>
              <w:tabs>
                <w:tab w:val="left" w:pos="1379"/>
              </w:tabs>
              <w:jc w:val="both"/>
              <w:rPr>
                <w:lang w:val="ru-RU"/>
              </w:rPr>
            </w:pPr>
            <w:r w:rsidRPr="00C22F31">
              <w:rPr>
                <w:lang w:val="ru-RU"/>
              </w:rPr>
              <w:t>Отказ</w:t>
            </w:r>
            <w:r w:rsidRPr="00C22F31">
              <w:rPr>
                <w:lang w:val="ru-RU"/>
              </w:rPr>
              <w:tab/>
              <w:t>представителей</w:t>
            </w:r>
            <w:r w:rsidRPr="00C22F31">
              <w:rPr>
                <w:spacing w:val="-53"/>
                <w:lang w:val="ru-RU"/>
              </w:rPr>
              <w:t xml:space="preserve"> </w:t>
            </w:r>
            <w:r w:rsidRPr="00C22F31">
              <w:rPr>
                <w:spacing w:val="-3"/>
                <w:lang w:val="ru-RU"/>
              </w:rPr>
              <w:t xml:space="preserve">компании </w:t>
            </w:r>
            <w:r>
              <w:rPr>
                <w:spacing w:val="-2"/>
              </w:rPr>
              <w:t>BigCo</w:t>
            </w:r>
            <w:r w:rsidRPr="00C22F31">
              <w:rPr>
                <w:spacing w:val="-1"/>
                <w:lang w:val="ru-RU"/>
              </w:rPr>
              <w:t xml:space="preserve"> </w:t>
            </w:r>
            <w:r w:rsidRPr="00C22F31">
              <w:rPr>
                <w:spacing w:val="-2"/>
                <w:lang w:val="ru-RU"/>
              </w:rPr>
              <w:t>акцептовать</w:t>
            </w:r>
            <w:r w:rsidRPr="00C22F31">
              <w:rPr>
                <w:spacing w:val="-52"/>
                <w:lang w:val="ru-RU"/>
              </w:rPr>
              <w:t xml:space="preserve"> </w:t>
            </w:r>
            <w:r w:rsidRPr="00C22F31">
              <w:rPr>
                <w:lang w:val="ru-RU"/>
              </w:rPr>
              <w:t>выполненные</w:t>
            </w:r>
            <w:r w:rsidRPr="00C22F31">
              <w:rPr>
                <w:spacing w:val="-4"/>
                <w:lang w:val="ru-RU"/>
              </w:rPr>
              <w:t xml:space="preserve"> </w:t>
            </w:r>
            <w:r w:rsidRPr="00C22F31">
              <w:rPr>
                <w:lang w:val="ru-RU"/>
              </w:rPr>
              <w:t>работы</w:t>
            </w:r>
          </w:p>
        </w:tc>
      </w:tr>
      <w:tr w:rsidR="002A02EB" w14:paraId="367CBF6F" w14:textId="77777777" w:rsidTr="002A02EB">
        <w:trPr>
          <w:trHeight w:val="660"/>
        </w:trPr>
        <w:tc>
          <w:tcPr>
            <w:tcW w:w="750" w:type="dxa"/>
            <w:shd w:val="clear" w:color="auto" w:fill="EBECEB"/>
          </w:tcPr>
          <w:p w14:paraId="7080E48F" w14:textId="77777777" w:rsidR="002A02EB" w:rsidRDefault="002A02EB" w:rsidP="002A02EB">
            <w:pPr>
              <w:pStyle w:val="TableParagraph"/>
              <w:jc w:val="center"/>
            </w:pPr>
            <w:r>
              <w:t>3</w:t>
            </w:r>
            <w:r>
              <w:rPr>
                <w:spacing w:val="3"/>
              </w:rPr>
              <w:t xml:space="preserve"> </w:t>
            </w:r>
            <w:r>
              <w:t>(</w:t>
            </w:r>
            <w:r>
              <w:rPr>
                <w:b/>
                <w:position w:val="1"/>
              </w:rPr>
              <w:t>C</w:t>
            </w:r>
            <w:r>
              <w:t>)</w:t>
            </w:r>
          </w:p>
        </w:tc>
        <w:tc>
          <w:tcPr>
            <w:tcW w:w="5175" w:type="dxa"/>
            <w:shd w:val="clear" w:color="auto" w:fill="EBECEB"/>
          </w:tcPr>
          <w:p w14:paraId="1BCD2981" w14:textId="77777777" w:rsidR="002A02EB" w:rsidRPr="00C22F31" w:rsidRDefault="002A02EB" w:rsidP="002A02EB">
            <w:pPr>
              <w:pStyle w:val="TableParagraph"/>
              <w:rPr>
                <w:lang w:val="ru-RU"/>
              </w:rPr>
            </w:pPr>
            <w:r w:rsidRPr="00C22F31">
              <w:rPr>
                <w:lang w:val="ru-RU"/>
              </w:rPr>
              <w:t>Сопротивление</w:t>
            </w:r>
            <w:r w:rsidRPr="00C22F31">
              <w:rPr>
                <w:spacing w:val="32"/>
                <w:lang w:val="ru-RU"/>
              </w:rPr>
              <w:t xml:space="preserve"> </w:t>
            </w:r>
            <w:r w:rsidRPr="00C22F31">
              <w:rPr>
                <w:lang w:val="ru-RU"/>
              </w:rPr>
              <w:t>конечных</w:t>
            </w:r>
            <w:r w:rsidRPr="00C22F31">
              <w:rPr>
                <w:spacing w:val="41"/>
                <w:lang w:val="ru-RU"/>
              </w:rPr>
              <w:t xml:space="preserve"> </w:t>
            </w:r>
            <w:r w:rsidRPr="00C22F31">
              <w:rPr>
                <w:lang w:val="ru-RU"/>
              </w:rPr>
              <w:t>пользователей,</w:t>
            </w:r>
            <w:r w:rsidRPr="00C22F31">
              <w:rPr>
                <w:spacing w:val="43"/>
                <w:lang w:val="ru-RU"/>
              </w:rPr>
              <w:t xml:space="preserve"> </w:t>
            </w:r>
            <w:r w:rsidRPr="00C22F31">
              <w:rPr>
                <w:lang w:val="ru-RU"/>
              </w:rPr>
              <w:t>саботаж</w:t>
            </w:r>
            <w:r w:rsidRPr="00C22F31">
              <w:rPr>
                <w:spacing w:val="-52"/>
                <w:lang w:val="ru-RU"/>
              </w:rPr>
              <w:t xml:space="preserve"> </w:t>
            </w:r>
            <w:r w:rsidRPr="00C22F31">
              <w:rPr>
                <w:lang w:val="ru-RU"/>
              </w:rPr>
              <w:t>проектных</w:t>
            </w:r>
            <w:r w:rsidRPr="00C22F31">
              <w:rPr>
                <w:spacing w:val="-6"/>
                <w:lang w:val="ru-RU"/>
              </w:rPr>
              <w:t xml:space="preserve"> </w:t>
            </w:r>
            <w:r w:rsidRPr="00C22F31">
              <w:rPr>
                <w:lang w:val="ru-RU"/>
              </w:rPr>
              <w:t>работ</w:t>
            </w:r>
            <w:r w:rsidRPr="00C22F31">
              <w:rPr>
                <w:spacing w:val="-5"/>
                <w:lang w:val="ru-RU"/>
              </w:rPr>
              <w:t xml:space="preserve"> </w:t>
            </w:r>
            <w:r w:rsidRPr="00C22F31">
              <w:rPr>
                <w:lang w:val="ru-RU"/>
              </w:rPr>
              <w:t>и</w:t>
            </w:r>
            <w:r w:rsidRPr="00C22F31">
              <w:rPr>
                <w:spacing w:val="-6"/>
                <w:lang w:val="ru-RU"/>
              </w:rPr>
              <w:t xml:space="preserve"> </w:t>
            </w:r>
            <w:r w:rsidRPr="00C22F31">
              <w:rPr>
                <w:lang w:val="ru-RU"/>
              </w:rPr>
              <w:t>неприятие</w:t>
            </w:r>
            <w:r w:rsidRPr="00C22F31">
              <w:rPr>
                <w:spacing w:val="-5"/>
                <w:lang w:val="ru-RU"/>
              </w:rPr>
              <w:t xml:space="preserve"> </w:t>
            </w:r>
            <w:r w:rsidRPr="00C22F31">
              <w:rPr>
                <w:lang w:val="ru-RU"/>
              </w:rPr>
              <w:t>результатов</w:t>
            </w:r>
            <w:r w:rsidRPr="00C22F31">
              <w:rPr>
                <w:spacing w:val="-6"/>
                <w:lang w:val="ru-RU"/>
              </w:rPr>
              <w:t xml:space="preserve"> </w:t>
            </w:r>
            <w:r w:rsidRPr="00C22F31">
              <w:rPr>
                <w:lang w:val="ru-RU"/>
              </w:rPr>
              <w:t>проекта</w:t>
            </w:r>
          </w:p>
        </w:tc>
        <w:tc>
          <w:tcPr>
            <w:tcW w:w="1620" w:type="dxa"/>
            <w:shd w:val="clear" w:color="auto" w:fill="EBECEB"/>
          </w:tcPr>
          <w:p w14:paraId="28BDEE8A" w14:textId="77777777" w:rsidR="002A02EB" w:rsidRDefault="002A02EB" w:rsidP="002A02EB">
            <w:pPr>
              <w:pStyle w:val="TableParagraph"/>
            </w:pPr>
            <w:r>
              <w:t>50%</w:t>
            </w:r>
          </w:p>
        </w:tc>
        <w:tc>
          <w:tcPr>
            <w:tcW w:w="2940" w:type="dxa"/>
            <w:shd w:val="clear" w:color="auto" w:fill="EBECEB"/>
          </w:tcPr>
          <w:p w14:paraId="1974F236" w14:textId="77777777" w:rsidR="002A02EB" w:rsidRPr="00C22F31" w:rsidRDefault="002A02EB" w:rsidP="002A02EB">
            <w:pPr>
              <w:pStyle w:val="TableParagraph"/>
              <w:tabs>
                <w:tab w:val="left" w:pos="1874"/>
              </w:tabs>
              <w:rPr>
                <w:lang w:val="ru-RU"/>
              </w:rPr>
            </w:pPr>
            <w:r w:rsidRPr="00C22F31">
              <w:rPr>
                <w:lang w:val="ru-RU"/>
              </w:rPr>
              <w:t>Увеличение</w:t>
            </w:r>
            <w:r w:rsidRPr="00C22F31">
              <w:rPr>
                <w:lang w:val="ru-RU"/>
              </w:rPr>
              <w:tab/>
              <w:t>стоимости</w:t>
            </w:r>
            <w:r w:rsidRPr="00C22F31">
              <w:rPr>
                <w:spacing w:val="-52"/>
                <w:lang w:val="ru-RU"/>
              </w:rPr>
              <w:t xml:space="preserve"> </w:t>
            </w:r>
            <w:r w:rsidRPr="00C22F31">
              <w:rPr>
                <w:lang w:val="ru-RU"/>
              </w:rPr>
              <w:t>проекта</w:t>
            </w:r>
            <w:r w:rsidRPr="00C22F31">
              <w:rPr>
                <w:spacing w:val="1"/>
                <w:lang w:val="ru-RU"/>
              </w:rPr>
              <w:t xml:space="preserve"> </w:t>
            </w:r>
            <w:r w:rsidRPr="00C22F31">
              <w:rPr>
                <w:lang w:val="ru-RU"/>
              </w:rPr>
              <w:t>на</w:t>
            </w:r>
            <w:r w:rsidRPr="00C22F31">
              <w:rPr>
                <w:spacing w:val="1"/>
                <w:lang w:val="ru-RU"/>
              </w:rPr>
              <w:t xml:space="preserve"> </w:t>
            </w:r>
            <w:r w:rsidRPr="00C22F31">
              <w:rPr>
                <w:lang w:val="ru-RU"/>
              </w:rPr>
              <w:t>€300</w:t>
            </w:r>
            <w:r w:rsidRPr="00C22F31">
              <w:rPr>
                <w:spacing w:val="1"/>
                <w:lang w:val="ru-RU"/>
              </w:rPr>
              <w:t xml:space="preserve"> </w:t>
            </w:r>
            <w:r w:rsidRPr="00C22F31">
              <w:rPr>
                <w:lang w:val="ru-RU"/>
              </w:rPr>
              <w:t>тыс.</w:t>
            </w:r>
          </w:p>
        </w:tc>
      </w:tr>
    </w:tbl>
    <w:p w14:paraId="6AC8D98B" w14:textId="77777777" w:rsidR="002A02EB" w:rsidRDefault="002A02EB" w:rsidP="002A02EB">
      <w:pPr>
        <w:jc w:val="both"/>
      </w:pPr>
    </w:p>
    <w:p w14:paraId="364E89A1" w14:textId="77777777" w:rsidR="002A02EB" w:rsidRDefault="002A02EB" w:rsidP="002A02EB">
      <w:pPr>
        <w:jc w:val="both"/>
      </w:pPr>
      <w:r w:rsidRPr="002A02EB">
        <w:t xml:space="preserve">На выполнение проекта отводится 14 месяцев. Объем денежных средств, выделенных компанией на реализацию проекта, составляет €2 млн. Кроме того, на этапе планирования экспертами для всего проекта была разработана эталонная шкала оценки влияния рисков (таблица </w:t>
      </w:r>
      <w:r>
        <w:t>2</w:t>
      </w:r>
      <w:r w:rsidRPr="002A02EB">
        <w:t>).</w:t>
      </w:r>
    </w:p>
    <w:p w14:paraId="7E02C11F" w14:textId="77777777" w:rsidR="002A02EB" w:rsidRDefault="002A02EB" w:rsidP="002A02EB">
      <w:pPr>
        <w:jc w:val="right"/>
      </w:pPr>
    </w:p>
    <w:p w14:paraId="4AB7C815" w14:textId="77777777" w:rsidR="002A02EB" w:rsidRDefault="002A02EB" w:rsidP="002A02EB">
      <w:pPr>
        <w:jc w:val="right"/>
      </w:pPr>
      <w:r>
        <w:t>Таблица 2 – Шкала оценки влияния рисков</w:t>
      </w:r>
    </w:p>
    <w:tbl>
      <w:tblPr>
        <w:tblStyle w:val="TableNormal"/>
        <w:tblW w:w="10485"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60"/>
        <w:gridCol w:w="1665"/>
        <w:gridCol w:w="1665"/>
        <w:gridCol w:w="1665"/>
        <w:gridCol w:w="1665"/>
        <w:gridCol w:w="1665"/>
      </w:tblGrid>
      <w:tr w:rsidR="002A02EB" w14:paraId="6E4703B5" w14:textId="77777777" w:rsidTr="002A02EB">
        <w:trPr>
          <w:trHeight w:val="630"/>
        </w:trPr>
        <w:tc>
          <w:tcPr>
            <w:tcW w:w="2160" w:type="dxa"/>
            <w:vMerge w:val="restart"/>
            <w:shd w:val="clear" w:color="auto" w:fill="EBECEB"/>
          </w:tcPr>
          <w:p w14:paraId="0783B75B" w14:textId="77777777" w:rsidR="002A02EB" w:rsidRDefault="002A02EB" w:rsidP="002A02EB">
            <w:pPr>
              <w:pStyle w:val="TableParagraph"/>
              <w:rPr>
                <w:b/>
              </w:rPr>
            </w:pPr>
            <w:r>
              <w:rPr>
                <w:b/>
              </w:rPr>
              <w:t>Количественная</w:t>
            </w:r>
            <w:r>
              <w:rPr>
                <w:b/>
                <w:spacing w:val="1"/>
              </w:rPr>
              <w:t xml:space="preserve"> </w:t>
            </w:r>
            <w:r>
              <w:rPr>
                <w:b/>
              </w:rPr>
              <w:t>характеристика</w:t>
            </w:r>
            <w:r>
              <w:rPr>
                <w:b/>
                <w:spacing w:val="1"/>
              </w:rPr>
              <w:t xml:space="preserve"> </w:t>
            </w:r>
            <w:r>
              <w:rPr>
                <w:b/>
              </w:rPr>
              <w:t>→</w:t>
            </w:r>
            <w:r>
              <w:rPr>
                <w:b/>
                <w:spacing w:val="-52"/>
              </w:rPr>
              <w:t xml:space="preserve"> </w:t>
            </w:r>
            <w:r>
              <w:rPr>
                <w:b/>
              </w:rPr>
              <w:t>Объект</w:t>
            </w:r>
            <w:r>
              <w:rPr>
                <w:b/>
                <w:spacing w:val="41"/>
              </w:rPr>
              <w:t xml:space="preserve"> </w:t>
            </w:r>
            <w:r>
              <w:rPr>
                <w:b/>
              </w:rPr>
              <w:t>влияния</w:t>
            </w:r>
            <w:r>
              <w:rPr>
                <w:b/>
                <w:spacing w:val="41"/>
              </w:rPr>
              <w:t xml:space="preserve"> </w:t>
            </w:r>
            <w:r>
              <w:rPr>
                <w:b/>
              </w:rPr>
              <w:t>↓</w:t>
            </w:r>
          </w:p>
        </w:tc>
        <w:tc>
          <w:tcPr>
            <w:tcW w:w="1665" w:type="dxa"/>
            <w:shd w:val="clear" w:color="auto" w:fill="EBECEB"/>
          </w:tcPr>
          <w:p w14:paraId="631DDCD9" w14:textId="77777777" w:rsidR="002A02EB" w:rsidRDefault="002A02EB" w:rsidP="002A02EB">
            <w:pPr>
              <w:pStyle w:val="TableParagraph"/>
              <w:jc w:val="center"/>
              <w:rPr>
                <w:b/>
              </w:rPr>
            </w:pPr>
            <w:r>
              <w:rPr>
                <w:b/>
              </w:rPr>
              <w:t>Очень</w:t>
            </w:r>
            <w:r>
              <w:rPr>
                <w:b/>
                <w:spacing w:val="45"/>
              </w:rPr>
              <w:t xml:space="preserve"> </w:t>
            </w:r>
            <w:r>
              <w:rPr>
                <w:b/>
              </w:rPr>
              <w:t>низкое</w:t>
            </w:r>
          </w:p>
        </w:tc>
        <w:tc>
          <w:tcPr>
            <w:tcW w:w="1665" w:type="dxa"/>
            <w:shd w:val="clear" w:color="auto" w:fill="EBECEB"/>
          </w:tcPr>
          <w:p w14:paraId="0BAE52EB" w14:textId="77777777" w:rsidR="002A02EB" w:rsidRDefault="002A02EB" w:rsidP="002A02EB">
            <w:pPr>
              <w:pStyle w:val="TableParagraph"/>
              <w:jc w:val="center"/>
              <w:rPr>
                <w:b/>
              </w:rPr>
            </w:pPr>
            <w:r>
              <w:rPr>
                <w:b/>
              </w:rPr>
              <w:t>Низкое</w:t>
            </w:r>
          </w:p>
        </w:tc>
        <w:tc>
          <w:tcPr>
            <w:tcW w:w="1665" w:type="dxa"/>
            <w:shd w:val="clear" w:color="auto" w:fill="EBECEB"/>
          </w:tcPr>
          <w:p w14:paraId="39AFABEE" w14:textId="77777777" w:rsidR="002A02EB" w:rsidRDefault="002A02EB" w:rsidP="002A02EB">
            <w:pPr>
              <w:pStyle w:val="TableParagraph"/>
              <w:jc w:val="center"/>
              <w:rPr>
                <w:b/>
              </w:rPr>
            </w:pPr>
            <w:r>
              <w:rPr>
                <w:b/>
              </w:rPr>
              <w:t>Уме</w:t>
            </w:r>
            <w:r>
              <w:rPr>
                <w:b/>
                <w:spacing w:val="-30"/>
              </w:rPr>
              <w:t xml:space="preserve"> </w:t>
            </w:r>
            <w:r>
              <w:rPr>
                <w:b/>
              </w:rPr>
              <w:t>ре</w:t>
            </w:r>
            <w:r>
              <w:rPr>
                <w:b/>
                <w:spacing w:val="-30"/>
              </w:rPr>
              <w:t xml:space="preserve"> </w:t>
            </w:r>
            <w:r>
              <w:rPr>
                <w:b/>
              </w:rPr>
              <w:t>нное</w:t>
            </w:r>
          </w:p>
        </w:tc>
        <w:tc>
          <w:tcPr>
            <w:tcW w:w="1665" w:type="dxa"/>
            <w:shd w:val="clear" w:color="auto" w:fill="EBECEB"/>
          </w:tcPr>
          <w:p w14:paraId="2363A9E5" w14:textId="77777777" w:rsidR="002A02EB" w:rsidRDefault="002A02EB" w:rsidP="002A02EB">
            <w:pPr>
              <w:pStyle w:val="TableParagraph"/>
              <w:jc w:val="center"/>
              <w:rPr>
                <w:b/>
              </w:rPr>
            </w:pPr>
            <w:r>
              <w:rPr>
                <w:b/>
                <w:spacing w:val="10"/>
              </w:rPr>
              <w:t>Высокое</w:t>
            </w:r>
          </w:p>
        </w:tc>
        <w:tc>
          <w:tcPr>
            <w:tcW w:w="1665" w:type="dxa"/>
            <w:shd w:val="clear" w:color="auto" w:fill="EBECEB"/>
          </w:tcPr>
          <w:p w14:paraId="41798744" w14:textId="77777777" w:rsidR="002A02EB" w:rsidRDefault="002A02EB" w:rsidP="002A02EB">
            <w:pPr>
              <w:pStyle w:val="TableParagraph"/>
              <w:rPr>
                <w:b/>
              </w:rPr>
            </w:pPr>
            <w:r>
              <w:rPr>
                <w:b/>
              </w:rPr>
              <w:t>Очень</w:t>
            </w:r>
            <w:r>
              <w:rPr>
                <w:b/>
                <w:spacing w:val="1"/>
              </w:rPr>
              <w:t xml:space="preserve"> </w:t>
            </w:r>
            <w:r>
              <w:rPr>
                <w:b/>
              </w:rPr>
              <w:t>высокое</w:t>
            </w:r>
          </w:p>
        </w:tc>
      </w:tr>
      <w:tr w:rsidR="002A02EB" w14:paraId="1558131D" w14:textId="77777777" w:rsidTr="002A02EB">
        <w:trPr>
          <w:trHeight w:val="375"/>
        </w:trPr>
        <w:tc>
          <w:tcPr>
            <w:tcW w:w="2160" w:type="dxa"/>
            <w:vMerge/>
            <w:tcBorders>
              <w:top w:val="nil"/>
            </w:tcBorders>
            <w:shd w:val="clear" w:color="auto" w:fill="EBECEB"/>
          </w:tcPr>
          <w:p w14:paraId="356625F3" w14:textId="77777777" w:rsidR="002A02EB" w:rsidRDefault="002A02EB" w:rsidP="002A02EB">
            <w:pPr>
              <w:spacing w:line="240" w:lineRule="auto"/>
              <w:ind w:firstLine="0"/>
              <w:rPr>
                <w:sz w:val="2"/>
                <w:szCs w:val="2"/>
              </w:rPr>
            </w:pPr>
          </w:p>
        </w:tc>
        <w:tc>
          <w:tcPr>
            <w:tcW w:w="1665" w:type="dxa"/>
            <w:shd w:val="clear" w:color="auto" w:fill="EBECEB"/>
          </w:tcPr>
          <w:p w14:paraId="2ACAA409" w14:textId="77777777" w:rsidR="002A02EB" w:rsidRDefault="002A02EB" w:rsidP="002A02EB">
            <w:pPr>
              <w:pStyle w:val="TableParagraph"/>
              <w:jc w:val="center"/>
              <w:rPr>
                <w:b/>
              </w:rPr>
            </w:pPr>
            <w:r>
              <w:rPr>
                <w:b/>
              </w:rPr>
              <w:t>0,05</w:t>
            </w:r>
          </w:p>
        </w:tc>
        <w:tc>
          <w:tcPr>
            <w:tcW w:w="1665" w:type="dxa"/>
            <w:shd w:val="clear" w:color="auto" w:fill="EBECEB"/>
          </w:tcPr>
          <w:p w14:paraId="3B03AF0F" w14:textId="77777777" w:rsidR="002A02EB" w:rsidRDefault="002A02EB" w:rsidP="002A02EB">
            <w:pPr>
              <w:pStyle w:val="TableParagraph"/>
              <w:jc w:val="center"/>
              <w:rPr>
                <w:b/>
              </w:rPr>
            </w:pPr>
            <w:r>
              <w:rPr>
                <w:b/>
              </w:rPr>
              <w:t>0,1</w:t>
            </w:r>
          </w:p>
        </w:tc>
        <w:tc>
          <w:tcPr>
            <w:tcW w:w="1665" w:type="dxa"/>
            <w:shd w:val="clear" w:color="auto" w:fill="EBECEB"/>
          </w:tcPr>
          <w:p w14:paraId="175F985C" w14:textId="77777777" w:rsidR="002A02EB" w:rsidRDefault="002A02EB" w:rsidP="002A02EB">
            <w:pPr>
              <w:pStyle w:val="TableParagraph"/>
              <w:jc w:val="center"/>
              <w:rPr>
                <w:b/>
              </w:rPr>
            </w:pPr>
            <w:r>
              <w:rPr>
                <w:b/>
              </w:rPr>
              <w:t>0,2</w:t>
            </w:r>
          </w:p>
        </w:tc>
        <w:tc>
          <w:tcPr>
            <w:tcW w:w="1665" w:type="dxa"/>
            <w:shd w:val="clear" w:color="auto" w:fill="EBECEB"/>
          </w:tcPr>
          <w:p w14:paraId="4964C6F5" w14:textId="77777777" w:rsidR="002A02EB" w:rsidRDefault="002A02EB" w:rsidP="002A02EB">
            <w:pPr>
              <w:pStyle w:val="TableParagraph"/>
              <w:jc w:val="center"/>
              <w:rPr>
                <w:b/>
              </w:rPr>
            </w:pPr>
            <w:r>
              <w:rPr>
                <w:b/>
              </w:rPr>
              <w:t>0,4</w:t>
            </w:r>
          </w:p>
        </w:tc>
        <w:tc>
          <w:tcPr>
            <w:tcW w:w="1665" w:type="dxa"/>
            <w:shd w:val="clear" w:color="auto" w:fill="EBECEB"/>
          </w:tcPr>
          <w:p w14:paraId="3A316E0F" w14:textId="77777777" w:rsidR="002A02EB" w:rsidRDefault="002A02EB" w:rsidP="002A02EB">
            <w:pPr>
              <w:pStyle w:val="TableParagraph"/>
              <w:jc w:val="center"/>
              <w:rPr>
                <w:b/>
              </w:rPr>
            </w:pPr>
            <w:r>
              <w:rPr>
                <w:b/>
              </w:rPr>
              <w:t>0,8</w:t>
            </w:r>
          </w:p>
        </w:tc>
      </w:tr>
      <w:tr w:rsidR="002A02EB" w14:paraId="060A8727" w14:textId="77777777" w:rsidTr="002A02EB">
        <w:trPr>
          <w:trHeight w:val="630"/>
        </w:trPr>
        <w:tc>
          <w:tcPr>
            <w:tcW w:w="2160" w:type="dxa"/>
            <w:shd w:val="clear" w:color="auto" w:fill="EBECEB"/>
          </w:tcPr>
          <w:p w14:paraId="6EE1F4F5" w14:textId="77777777" w:rsidR="002A02EB" w:rsidRDefault="002A02EB" w:rsidP="002A02EB">
            <w:pPr>
              <w:pStyle w:val="TableParagraph"/>
              <w:jc w:val="center"/>
              <w:rPr>
                <w:b/>
              </w:rPr>
            </w:pPr>
            <w:r>
              <w:rPr>
                <w:b/>
              </w:rPr>
              <w:t>Стоимость</w:t>
            </w:r>
          </w:p>
        </w:tc>
        <w:tc>
          <w:tcPr>
            <w:tcW w:w="1665" w:type="dxa"/>
            <w:shd w:val="clear" w:color="auto" w:fill="EBECEB"/>
          </w:tcPr>
          <w:p w14:paraId="6D7F4866" w14:textId="77777777" w:rsidR="002A02EB" w:rsidRDefault="002A02EB" w:rsidP="002A02EB">
            <w:pPr>
              <w:pStyle w:val="TableParagraph"/>
            </w:pPr>
            <w:r>
              <w:rPr>
                <w:spacing w:val="-1"/>
              </w:rPr>
              <w:t>Незначительное</w:t>
            </w:r>
            <w:r>
              <w:rPr>
                <w:spacing w:val="-52"/>
              </w:rPr>
              <w:t xml:space="preserve"> </w:t>
            </w:r>
            <w:r>
              <w:t>увеличение</w:t>
            </w:r>
          </w:p>
        </w:tc>
        <w:tc>
          <w:tcPr>
            <w:tcW w:w="1665" w:type="dxa"/>
            <w:shd w:val="clear" w:color="auto" w:fill="EBECEB"/>
          </w:tcPr>
          <w:p w14:paraId="47095263" w14:textId="77777777" w:rsidR="002A02EB" w:rsidRDefault="002A02EB" w:rsidP="002A02EB">
            <w:pPr>
              <w:pStyle w:val="TableParagraph"/>
              <w:jc w:val="center"/>
            </w:pPr>
            <w:r>
              <w:t>Увеличение</w:t>
            </w:r>
          </w:p>
          <w:p w14:paraId="4BAA7801" w14:textId="77777777" w:rsidR="002A02EB" w:rsidRDefault="002A02EB" w:rsidP="002A02EB">
            <w:pPr>
              <w:pStyle w:val="TableParagraph"/>
              <w:jc w:val="center"/>
            </w:pPr>
            <w:r>
              <w:t>&lt;5%</w:t>
            </w:r>
          </w:p>
        </w:tc>
        <w:tc>
          <w:tcPr>
            <w:tcW w:w="1665" w:type="dxa"/>
            <w:shd w:val="clear" w:color="auto" w:fill="EBECEB"/>
          </w:tcPr>
          <w:p w14:paraId="65CAA89C" w14:textId="77777777" w:rsidR="002A02EB" w:rsidRDefault="002A02EB" w:rsidP="002A02EB">
            <w:pPr>
              <w:pStyle w:val="TableParagraph"/>
              <w:jc w:val="center"/>
            </w:pPr>
            <w:r>
              <w:rPr>
                <w:spacing w:val="-2"/>
              </w:rPr>
              <w:t>Увеличение</w:t>
            </w:r>
            <w:r>
              <w:rPr>
                <w:spacing w:val="-10"/>
              </w:rPr>
              <w:t xml:space="preserve"> </w:t>
            </w:r>
            <w:r>
              <w:rPr>
                <w:spacing w:val="-1"/>
              </w:rPr>
              <w:t>5-</w:t>
            </w:r>
          </w:p>
          <w:p w14:paraId="2AB3583E" w14:textId="77777777" w:rsidR="002A02EB" w:rsidRDefault="002A02EB" w:rsidP="002A02EB">
            <w:pPr>
              <w:pStyle w:val="TableParagraph"/>
              <w:jc w:val="center"/>
            </w:pPr>
            <w:r>
              <w:t>10%</w:t>
            </w:r>
          </w:p>
        </w:tc>
        <w:tc>
          <w:tcPr>
            <w:tcW w:w="1665" w:type="dxa"/>
            <w:shd w:val="clear" w:color="auto" w:fill="EBECEB"/>
          </w:tcPr>
          <w:p w14:paraId="3D4D07C2" w14:textId="77777777" w:rsidR="002A02EB" w:rsidRDefault="002A02EB" w:rsidP="002A02EB">
            <w:pPr>
              <w:pStyle w:val="TableParagraph"/>
              <w:jc w:val="center"/>
            </w:pPr>
            <w:r>
              <w:rPr>
                <w:spacing w:val="-3"/>
              </w:rPr>
              <w:t>Увеличение</w:t>
            </w:r>
            <w:r>
              <w:rPr>
                <w:spacing w:val="-11"/>
              </w:rPr>
              <w:t xml:space="preserve"> </w:t>
            </w:r>
            <w:r>
              <w:rPr>
                <w:spacing w:val="-3"/>
              </w:rPr>
              <w:t>11-</w:t>
            </w:r>
          </w:p>
          <w:p w14:paraId="4F2F7105" w14:textId="77777777" w:rsidR="002A02EB" w:rsidRDefault="002A02EB" w:rsidP="002A02EB">
            <w:pPr>
              <w:pStyle w:val="TableParagraph"/>
              <w:jc w:val="center"/>
            </w:pPr>
            <w:r>
              <w:t>20%</w:t>
            </w:r>
          </w:p>
        </w:tc>
        <w:tc>
          <w:tcPr>
            <w:tcW w:w="1665" w:type="dxa"/>
            <w:shd w:val="clear" w:color="auto" w:fill="EBECEB"/>
          </w:tcPr>
          <w:p w14:paraId="6A0FBAF5" w14:textId="77777777" w:rsidR="002A02EB" w:rsidRDefault="002A02EB" w:rsidP="002A02EB">
            <w:pPr>
              <w:pStyle w:val="TableParagraph"/>
              <w:jc w:val="center"/>
            </w:pPr>
            <w:r>
              <w:t>&gt;20%</w:t>
            </w:r>
          </w:p>
          <w:p w14:paraId="788449A7" w14:textId="77777777" w:rsidR="002A02EB" w:rsidRDefault="002A02EB" w:rsidP="002A02EB">
            <w:pPr>
              <w:pStyle w:val="TableParagraph"/>
              <w:jc w:val="center"/>
            </w:pPr>
            <w:r>
              <w:t>увеличение</w:t>
            </w:r>
          </w:p>
        </w:tc>
      </w:tr>
      <w:tr w:rsidR="002A02EB" w14:paraId="24952F12" w14:textId="77777777" w:rsidTr="002A02EB">
        <w:trPr>
          <w:trHeight w:val="630"/>
        </w:trPr>
        <w:tc>
          <w:tcPr>
            <w:tcW w:w="2160" w:type="dxa"/>
            <w:shd w:val="clear" w:color="auto" w:fill="EBECEB"/>
          </w:tcPr>
          <w:p w14:paraId="5CEFA3D4" w14:textId="77777777" w:rsidR="002A02EB" w:rsidRDefault="002A02EB" w:rsidP="002A02EB">
            <w:pPr>
              <w:pStyle w:val="TableParagraph"/>
              <w:jc w:val="center"/>
              <w:rPr>
                <w:b/>
              </w:rPr>
            </w:pPr>
            <w:r>
              <w:rPr>
                <w:b/>
              </w:rPr>
              <w:t>Сроки</w:t>
            </w:r>
          </w:p>
        </w:tc>
        <w:tc>
          <w:tcPr>
            <w:tcW w:w="1665" w:type="dxa"/>
            <w:shd w:val="clear" w:color="auto" w:fill="EBECEB"/>
          </w:tcPr>
          <w:p w14:paraId="706CF2D9" w14:textId="77777777" w:rsidR="002A02EB" w:rsidRDefault="002A02EB" w:rsidP="002A02EB">
            <w:pPr>
              <w:pStyle w:val="TableParagraph"/>
            </w:pPr>
            <w:r>
              <w:rPr>
                <w:spacing w:val="-1"/>
              </w:rPr>
              <w:t>Незначительное</w:t>
            </w:r>
            <w:r>
              <w:rPr>
                <w:spacing w:val="-52"/>
              </w:rPr>
              <w:t xml:space="preserve"> </w:t>
            </w:r>
            <w:r>
              <w:t>увеличение</w:t>
            </w:r>
          </w:p>
        </w:tc>
        <w:tc>
          <w:tcPr>
            <w:tcW w:w="1665" w:type="dxa"/>
            <w:shd w:val="clear" w:color="auto" w:fill="EBECEB"/>
          </w:tcPr>
          <w:p w14:paraId="1EAD722F" w14:textId="77777777" w:rsidR="002A02EB" w:rsidRDefault="002A02EB" w:rsidP="002A02EB">
            <w:pPr>
              <w:pStyle w:val="TableParagraph"/>
            </w:pPr>
            <w:r>
              <w:rPr>
                <w:spacing w:val="-4"/>
              </w:rPr>
              <w:t>Увеличение</w:t>
            </w:r>
            <w:r>
              <w:rPr>
                <w:spacing w:val="-52"/>
              </w:rPr>
              <w:t xml:space="preserve"> </w:t>
            </w:r>
            <w:r>
              <w:rPr>
                <w:spacing w:val="-2"/>
              </w:rPr>
              <w:t>сроков</w:t>
            </w:r>
            <w:r>
              <w:rPr>
                <w:spacing w:val="-12"/>
              </w:rPr>
              <w:t xml:space="preserve"> </w:t>
            </w:r>
            <w:r>
              <w:rPr>
                <w:spacing w:val="-2"/>
              </w:rPr>
              <w:t>&lt;5%</w:t>
            </w:r>
          </w:p>
        </w:tc>
        <w:tc>
          <w:tcPr>
            <w:tcW w:w="1665" w:type="dxa"/>
            <w:shd w:val="clear" w:color="auto" w:fill="EBECEB"/>
          </w:tcPr>
          <w:p w14:paraId="7F023895" w14:textId="77777777" w:rsidR="002A02EB" w:rsidRDefault="002A02EB" w:rsidP="002A02EB">
            <w:pPr>
              <w:pStyle w:val="TableParagraph"/>
              <w:jc w:val="center"/>
            </w:pPr>
            <w:r>
              <w:rPr>
                <w:spacing w:val="-2"/>
              </w:rPr>
              <w:t>Увеличение</w:t>
            </w:r>
            <w:r>
              <w:rPr>
                <w:spacing w:val="-10"/>
              </w:rPr>
              <w:t xml:space="preserve"> </w:t>
            </w:r>
            <w:r>
              <w:rPr>
                <w:spacing w:val="-1"/>
              </w:rPr>
              <w:t>5-</w:t>
            </w:r>
          </w:p>
          <w:p w14:paraId="13419F39" w14:textId="77777777" w:rsidR="002A02EB" w:rsidRDefault="002A02EB" w:rsidP="002A02EB">
            <w:pPr>
              <w:pStyle w:val="TableParagraph"/>
              <w:jc w:val="center"/>
            </w:pPr>
            <w:r>
              <w:t>10%</w:t>
            </w:r>
          </w:p>
        </w:tc>
        <w:tc>
          <w:tcPr>
            <w:tcW w:w="1665" w:type="dxa"/>
            <w:shd w:val="clear" w:color="auto" w:fill="EBECEB"/>
          </w:tcPr>
          <w:p w14:paraId="5786012F" w14:textId="77777777" w:rsidR="002A02EB" w:rsidRDefault="002A02EB" w:rsidP="002A02EB">
            <w:pPr>
              <w:pStyle w:val="TableParagraph"/>
              <w:jc w:val="center"/>
            </w:pPr>
            <w:r>
              <w:rPr>
                <w:spacing w:val="-3"/>
              </w:rPr>
              <w:t>Увеличение</w:t>
            </w:r>
            <w:r>
              <w:rPr>
                <w:spacing w:val="-11"/>
              </w:rPr>
              <w:t xml:space="preserve"> </w:t>
            </w:r>
            <w:r>
              <w:rPr>
                <w:spacing w:val="-3"/>
              </w:rPr>
              <w:t>11-</w:t>
            </w:r>
          </w:p>
          <w:p w14:paraId="4AE839BF" w14:textId="77777777" w:rsidR="002A02EB" w:rsidRDefault="002A02EB" w:rsidP="002A02EB">
            <w:pPr>
              <w:pStyle w:val="TableParagraph"/>
              <w:jc w:val="center"/>
            </w:pPr>
            <w:r>
              <w:t>20%</w:t>
            </w:r>
          </w:p>
        </w:tc>
        <w:tc>
          <w:tcPr>
            <w:tcW w:w="1665" w:type="dxa"/>
            <w:shd w:val="clear" w:color="auto" w:fill="EBECEB"/>
          </w:tcPr>
          <w:p w14:paraId="49FC2DC7" w14:textId="77777777" w:rsidR="002A02EB" w:rsidRDefault="002A02EB" w:rsidP="002A02EB">
            <w:pPr>
              <w:pStyle w:val="TableParagraph"/>
              <w:jc w:val="center"/>
            </w:pPr>
            <w:r>
              <w:t>&gt;20%</w:t>
            </w:r>
          </w:p>
          <w:p w14:paraId="6A74F984" w14:textId="77777777" w:rsidR="002A02EB" w:rsidRDefault="002A02EB" w:rsidP="002A02EB">
            <w:pPr>
              <w:pStyle w:val="TableParagraph"/>
              <w:jc w:val="center"/>
            </w:pPr>
            <w:r>
              <w:t>увеличение</w:t>
            </w:r>
          </w:p>
        </w:tc>
      </w:tr>
      <w:tr w:rsidR="002A02EB" w14:paraId="60084654" w14:textId="77777777" w:rsidTr="002A02EB">
        <w:trPr>
          <w:trHeight w:val="1140"/>
        </w:trPr>
        <w:tc>
          <w:tcPr>
            <w:tcW w:w="2160" w:type="dxa"/>
            <w:shd w:val="clear" w:color="auto" w:fill="EBECEB"/>
          </w:tcPr>
          <w:p w14:paraId="0A3B9185" w14:textId="77777777" w:rsidR="002A02EB" w:rsidRDefault="002A02EB" w:rsidP="002A02EB">
            <w:pPr>
              <w:pStyle w:val="TableParagraph"/>
              <w:rPr>
                <w:b/>
                <w:sz w:val="24"/>
              </w:rPr>
            </w:pPr>
          </w:p>
          <w:p w14:paraId="2A4A55D6" w14:textId="77777777" w:rsidR="002A02EB" w:rsidRDefault="002A02EB" w:rsidP="002A02EB">
            <w:pPr>
              <w:pStyle w:val="TableParagraph"/>
              <w:jc w:val="center"/>
              <w:rPr>
                <w:b/>
              </w:rPr>
            </w:pPr>
            <w:r>
              <w:rPr>
                <w:b/>
              </w:rPr>
              <w:t>Каче</w:t>
            </w:r>
            <w:r>
              <w:rPr>
                <w:b/>
                <w:spacing w:val="-32"/>
              </w:rPr>
              <w:t xml:space="preserve"> </w:t>
            </w:r>
            <w:r>
              <w:rPr>
                <w:b/>
              </w:rPr>
              <w:t>ство</w:t>
            </w:r>
          </w:p>
        </w:tc>
        <w:tc>
          <w:tcPr>
            <w:tcW w:w="1665" w:type="dxa"/>
            <w:shd w:val="clear" w:color="auto" w:fill="EBECEB"/>
          </w:tcPr>
          <w:p w14:paraId="00CBC744" w14:textId="77777777" w:rsidR="002A02EB" w:rsidRDefault="002A02EB" w:rsidP="002A02EB">
            <w:pPr>
              <w:pStyle w:val="TableParagraph"/>
              <w:rPr>
                <w:b/>
                <w:sz w:val="27"/>
              </w:rPr>
            </w:pPr>
          </w:p>
          <w:p w14:paraId="24A82AFC" w14:textId="77777777" w:rsidR="002A02EB" w:rsidRDefault="002A02EB" w:rsidP="002A02EB">
            <w:pPr>
              <w:pStyle w:val="TableParagraph"/>
            </w:pPr>
            <w:r>
              <w:t>Изменения</w:t>
            </w:r>
            <w:r>
              <w:rPr>
                <w:spacing w:val="-52"/>
              </w:rPr>
              <w:t xml:space="preserve"> </w:t>
            </w:r>
            <w:r>
              <w:t>незаметны</w:t>
            </w:r>
          </w:p>
        </w:tc>
        <w:tc>
          <w:tcPr>
            <w:tcW w:w="1665" w:type="dxa"/>
            <w:shd w:val="clear" w:color="auto" w:fill="EBECEB"/>
          </w:tcPr>
          <w:p w14:paraId="6285D0A0" w14:textId="77777777" w:rsidR="002A02EB" w:rsidRDefault="002A02EB" w:rsidP="002A02EB">
            <w:pPr>
              <w:pStyle w:val="TableParagraph"/>
              <w:rPr>
                <w:b/>
                <w:sz w:val="27"/>
              </w:rPr>
            </w:pPr>
          </w:p>
          <w:p w14:paraId="42A16F9E" w14:textId="77777777" w:rsidR="002A02EB" w:rsidRDefault="002A02EB" w:rsidP="002A02EB">
            <w:pPr>
              <w:pStyle w:val="TableParagraph"/>
            </w:pPr>
            <w:r>
              <w:rPr>
                <w:spacing w:val="-1"/>
              </w:rPr>
              <w:t>Незначительны</w:t>
            </w:r>
            <w:r>
              <w:rPr>
                <w:spacing w:val="-52"/>
              </w:rPr>
              <w:t xml:space="preserve"> </w:t>
            </w:r>
            <w:r>
              <w:t>е</w:t>
            </w:r>
            <w:r>
              <w:rPr>
                <w:spacing w:val="-5"/>
              </w:rPr>
              <w:t xml:space="preserve"> </w:t>
            </w:r>
            <w:r>
              <w:t>изменения</w:t>
            </w:r>
          </w:p>
        </w:tc>
        <w:tc>
          <w:tcPr>
            <w:tcW w:w="1665" w:type="dxa"/>
            <w:shd w:val="clear" w:color="auto" w:fill="EBECEB"/>
          </w:tcPr>
          <w:p w14:paraId="4643C854" w14:textId="77777777" w:rsidR="002A02EB" w:rsidRDefault="002A02EB" w:rsidP="002A02EB">
            <w:pPr>
              <w:pStyle w:val="TableParagraph"/>
              <w:jc w:val="center"/>
            </w:pPr>
            <w:r>
              <w:t>Изменения не</w:t>
            </w:r>
            <w:r>
              <w:rPr>
                <w:spacing w:val="-52"/>
              </w:rPr>
              <w:t xml:space="preserve"> </w:t>
            </w:r>
            <w:r>
              <w:t>требуют</w:t>
            </w:r>
            <w:r>
              <w:rPr>
                <w:spacing w:val="1"/>
              </w:rPr>
              <w:t xml:space="preserve"> </w:t>
            </w:r>
            <w:r>
              <w:t>согласования</w:t>
            </w:r>
          </w:p>
        </w:tc>
        <w:tc>
          <w:tcPr>
            <w:tcW w:w="1665" w:type="dxa"/>
            <w:shd w:val="clear" w:color="auto" w:fill="EBECEB"/>
          </w:tcPr>
          <w:p w14:paraId="316926BE" w14:textId="77777777" w:rsidR="002A02EB" w:rsidRDefault="002A02EB" w:rsidP="002A02EB">
            <w:pPr>
              <w:pStyle w:val="TableParagraph"/>
              <w:jc w:val="center"/>
            </w:pPr>
            <w:r>
              <w:t>Неприемлемое</w:t>
            </w:r>
            <w:r>
              <w:rPr>
                <w:spacing w:val="-52"/>
              </w:rPr>
              <w:t xml:space="preserve"> </w:t>
            </w:r>
            <w:r>
              <w:t>для клиента</w:t>
            </w:r>
            <w:r>
              <w:rPr>
                <w:spacing w:val="1"/>
              </w:rPr>
              <w:t xml:space="preserve"> </w:t>
            </w:r>
            <w:r>
              <w:t>изменение</w:t>
            </w:r>
          </w:p>
        </w:tc>
        <w:tc>
          <w:tcPr>
            <w:tcW w:w="1665" w:type="dxa"/>
            <w:shd w:val="clear" w:color="auto" w:fill="EBECEB"/>
          </w:tcPr>
          <w:p w14:paraId="2A0013E7" w14:textId="77777777" w:rsidR="002A02EB" w:rsidRDefault="002A02EB" w:rsidP="002A02EB">
            <w:pPr>
              <w:pStyle w:val="TableParagraph"/>
              <w:jc w:val="center"/>
            </w:pPr>
            <w:r>
              <w:rPr>
                <w:spacing w:val="-2"/>
              </w:rPr>
              <w:t>Достижение</w:t>
            </w:r>
            <w:r>
              <w:rPr>
                <w:spacing w:val="-52"/>
              </w:rPr>
              <w:t xml:space="preserve"> </w:t>
            </w:r>
            <w:r>
              <w:t>конечных</w:t>
            </w:r>
            <w:r>
              <w:rPr>
                <w:spacing w:val="1"/>
              </w:rPr>
              <w:t xml:space="preserve"> </w:t>
            </w:r>
            <w:r>
              <w:t>результатов</w:t>
            </w:r>
            <w:r>
              <w:rPr>
                <w:spacing w:val="-52"/>
              </w:rPr>
              <w:t xml:space="preserve"> </w:t>
            </w:r>
            <w:r>
              <w:rPr>
                <w:spacing w:val="-1"/>
              </w:rPr>
              <w:t>невозможно</w:t>
            </w:r>
          </w:p>
        </w:tc>
      </w:tr>
    </w:tbl>
    <w:p w14:paraId="387EF44F" w14:textId="77777777" w:rsidR="002A02EB" w:rsidRDefault="002A02EB" w:rsidP="002A02EB">
      <w:pPr>
        <w:jc w:val="both"/>
      </w:pPr>
      <w:r>
        <w:lastRenderedPageBreak/>
        <w:t>1.</w:t>
      </w:r>
      <w:r>
        <w:tab/>
        <w:t>Выстройте матрицу вероятности и последствий риска. Применяя шкалу оценки влияния риска, выделите на матрице 3 ранга воздействия: низкое, среднее и высокое.</w:t>
      </w:r>
    </w:p>
    <w:p w14:paraId="796F54D6" w14:textId="77777777" w:rsidR="002A02EB" w:rsidRDefault="002A02EB" w:rsidP="002A02EB">
      <w:pPr>
        <w:jc w:val="both"/>
      </w:pPr>
      <w:r>
        <w:t>2.</w:t>
      </w:r>
      <w:r>
        <w:tab/>
        <w:t>Применяя шкалу оценки влияния риска, отобразите на матрице вероятностей и последствий указанные риски и определите их приоритетность.</w:t>
      </w:r>
    </w:p>
    <w:p w14:paraId="3F16834A" w14:textId="77777777" w:rsidR="002A02EB" w:rsidRDefault="002A02EB" w:rsidP="002A02EB">
      <w:pPr>
        <w:jc w:val="both"/>
      </w:pPr>
    </w:p>
    <w:p w14:paraId="5DB776F0" w14:textId="77777777" w:rsidR="002A02EB" w:rsidRDefault="002A02EB" w:rsidP="002A02EB">
      <w:pPr>
        <w:ind w:firstLine="0"/>
        <w:jc w:val="center"/>
        <w:rPr>
          <w:b/>
          <w:i/>
        </w:rPr>
      </w:pPr>
      <w:r>
        <w:rPr>
          <w:b/>
          <w:i/>
        </w:rPr>
        <w:t>Ход выполнения:</w:t>
      </w:r>
    </w:p>
    <w:p w14:paraId="625AB2D9" w14:textId="77777777" w:rsidR="002A02EB" w:rsidRDefault="002A02EB" w:rsidP="002A02EB">
      <w:pPr>
        <w:jc w:val="both"/>
      </w:pPr>
    </w:p>
    <w:p w14:paraId="4C8C0A9E" w14:textId="77777777" w:rsidR="00895748" w:rsidRDefault="00895748" w:rsidP="002A02EB">
      <w:pPr>
        <w:jc w:val="both"/>
      </w:pPr>
      <w:r>
        <w:t xml:space="preserve">Из информации, полученной из входных таблиц, была создана матрица вероятности и последствий рисков (таблица 3). </w:t>
      </w:r>
    </w:p>
    <w:p w14:paraId="33803CCB" w14:textId="77777777" w:rsidR="00895748" w:rsidRDefault="00895748" w:rsidP="002A02EB">
      <w:pPr>
        <w:jc w:val="both"/>
      </w:pPr>
    </w:p>
    <w:p w14:paraId="59A91914" w14:textId="77777777" w:rsidR="000E1B4A" w:rsidRPr="000E1B4A" w:rsidRDefault="000E1B4A" w:rsidP="000E1B4A">
      <w:pPr>
        <w:jc w:val="center"/>
      </w:pPr>
      <w:r>
        <w:t>Таблица 3 – Матрица вероятности и последствий рисков</w:t>
      </w:r>
    </w:p>
    <w:tbl>
      <w:tblPr>
        <w:tblW w:w="8802" w:type="dxa"/>
        <w:jc w:val="center"/>
        <w:tblLook w:val="04A0" w:firstRow="1" w:lastRow="0" w:firstColumn="1" w:lastColumn="0" w:noHBand="0" w:noVBand="1"/>
      </w:tblPr>
      <w:tblGrid>
        <w:gridCol w:w="2116"/>
        <w:gridCol w:w="1426"/>
        <w:gridCol w:w="1315"/>
        <w:gridCol w:w="1315"/>
        <w:gridCol w:w="1315"/>
        <w:gridCol w:w="1315"/>
      </w:tblGrid>
      <w:tr w:rsidR="00CE54EE" w14:paraId="7CA917CE" w14:textId="77777777" w:rsidTr="00CE54EE">
        <w:trPr>
          <w:trHeight w:val="300"/>
          <w:jc w:val="center"/>
        </w:trPr>
        <w:tc>
          <w:tcPr>
            <w:tcW w:w="2116" w:type="dxa"/>
            <w:tcBorders>
              <w:top w:val="nil"/>
              <w:left w:val="nil"/>
              <w:bottom w:val="nil"/>
              <w:right w:val="nil"/>
            </w:tcBorders>
            <w:shd w:val="clear" w:color="auto" w:fill="auto"/>
            <w:noWrap/>
            <w:vAlign w:val="bottom"/>
            <w:hideMark/>
          </w:tcPr>
          <w:p w14:paraId="4733EC3B" w14:textId="77777777" w:rsidR="00CE54EE" w:rsidRDefault="00CE54EE" w:rsidP="00CE54EE">
            <w:pPr>
              <w:spacing w:line="240" w:lineRule="auto"/>
              <w:ind w:firstLine="0"/>
              <w:rPr>
                <w:sz w:val="20"/>
                <w:szCs w:val="20"/>
              </w:rPr>
            </w:pPr>
          </w:p>
        </w:tc>
        <w:tc>
          <w:tcPr>
            <w:tcW w:w="6686" w:type="dxa"/>
            <w:gridSpan w:val="5"/>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14:paraId="2DFA76B7" w14:textId="77777777" w:rsidR="00CE54EE" w:rsidRDefault="00CE54EE" w:rsidP="00CE54EE">
            <w:pPr>
              <w:spacing w:line="240" w:lineRule="auto"/>
              <w:ind w:firstLine="0"/>
              <w:jc w:val="center"/>
              <w:rPr>
                <w:rFonts w:ascii="Calibri" w:hAnsi="Calibri" w:cs="Calibri"/>
                <w:b/>
                <w:bCs/>
                <w:color w:val="3F3F3F"/>
                <w:sz w:val="22"/>
                <w:szCs w:val="22"/>
              </w:rPr>
            </w:pPr>
            <w:r>
              <w:rPr>
                <w:rFonts w:ascii="Calibri" w:hAnsi="Calibri" w:cs="Calibri"/>
                <w:b/>
                <w:bCs/>
                <w:color w:val="3F3F3F"/>
                <w:sz w:val="22"/>
                <w:szCs w:val="22"/>
              </w:rPr>
              <w:t>Последствия</w:t>
            </w:r>
          </w:p>
        </w:tc>
      </w:tr>
      <w:tr w:rsidR="00CE54EE" w14:paraId="68D5A21E" w14:textId="77777777" w:rsidTr="00CE54EE">
        <w:trPr>
          <w:trHeight w:val="300"/>
          <w:jc w:val="center"/>
        </w:trPr>
        <w:tc>
          <w:tcPr>
            <w:tcW w:w="2116" w:type="dxa"/>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14:paraId="7E03250E" w14:textId="77777777" w:rsidR="00CE54EE" w:rsidRDefault="00CE54EE" w:rsidP="00CE54EE">
            <w:pPr>
              <w:spacing w:line="240" w:lineRule="auto"/>
              <w:ind w:firstLine="0"/>
              <w:rPr>
                <w:rFonts w:ascii="Calibri" w:hAnsi="Calibri" w:cs="Calibri"/>
                <w:b/>
                <w:bCs/>
                <w:color w:val="3F3F3F"/>
                <w:sz w:val="22"/>
                <w:szCs w:val="22"/>
              </w:rPr>
            </w:pPr>
            <w:r>
              <w:rPr>
                <w:rFonts w:ascii="Calibri" w:hAnsi="Calibri" w:cs="Calibri"/>
                <w:b/>
                <w:bCs/>
                <w:color w:val="3F3F3F"/>
                <w:sz w:val="22"/>
                <w:szCs w:val="22"/>
              </w:rPr>
              <w:t>Вероятность</w:t>
            </w:r>
          </w:p>
        </w:tc>
        <w:tc>
          <w:tcPr>
            <w:tcW w:w="1426" w:type="dxa"/>
            <w:tcBorders>
              <w:top w:val="nil"/>
              <w:left w:val="nil"/>
              <w:bottom w:val="single" w:sz="4" w:space="0" w:color="3F3F3F"/>
              <w:right w:val="single" w:sz="4" w:space="0" w:color="3F3F3F"/>
            </w:tcBorders>
            <w:shd w:val="clear" w:color="000000" w:fill="F2F2F2"/>
            <w:noWrap/>
            <w:vAlign w:val="bottom"/>
            <w:hideMark/>
          </w:tcPr>
          <w:p w14:paraId="59B18797" w14:textId="77777777" w:rsidR="00CE54EE" w:rsidRDefault="00CE54EE" w:rsidP="00CE54EE">
            <w:pPr>
              <w:spacing w:line="240" w:lineRule="auto"/>
              <w:ind w:firstLine="0"/>
              <w:jc w:val="center"/>
              <w:rPr>
                <w:rFonts w:ascii="Calibri" w:hAnsi="Calibri" w:cs="Calibri"/>
                <w:b/>
                <w:bCs/>
                <w:color w:val="3F3F3F"/>
                <w:sz w:val="22"/>
                <w:szCs w:val="22"/>
              </w:rPr>
            </w:pPr>
            <w:r>
              <w:rPr>
                <w:rFonts w:ascii="Calibri" w:hAnsi="Calibri" w:cs="Calibri"/>
                <w:b/>
                <w:bCs/>
                <w:color w:val="3F3F3F"/>
                <w:sz w:val="22"/>
                <w:szCs w:val="22"/>
              </w:rPr>
              <w:t>0,05</w:t>
            </w:r>
          </w:p>
        </w:tc>
        <w:tc>
          <w:tcPr>
            <w:tcW w:w="1315" w:type="dxa"/>
            <w:tcBorders>
              <w:top w:val="nil"/>
              <w:left w:val="nil"/>
              <w:bottom w:val="single" w:sz="4" w:space="0" w:color="3F3F3F"/>
              <w:right w:val="single" w:sz="4" w:space="0" w:color="3F3F3F"/>
            </w:tcBorders>
            <w:shd w:val="clear" w:color="000000" w:fill="F2F2F2"/>
            <w:noWrap/>
            <w:vAlign w:val="bottom"/>
            <w:hideMark/>
          </w:tcPr>
          <w:p w14:paraId="0AAB8F4A" w14:textId="77777777" w:rsidR="00CE54EE" w:rsidRDefault="00CE54EE" w:rsidP="00CE54EE">
            <w:pPr>
              <w:spacing w:line="240" w:lineRule="auto"/>
              <w:ind w:firstLine="0"/>
              <w:jc w:val="center"/>
              <w:rPr>
                <w:rFonts w:ascii="Calibri" w:hAnsi="Calibri" w:cs="Calibri"/>
                <w:b/>
                <w:bCs/>
                <w:color w:val="3F3F3F"/>
                <w:sz w:val="22"/>
                <w:szCs w:val="22"/>
              </w:rPr>
            </w:pPr>
            <w:r>
              <w:rPr>
                <w:rFonts w:ascii="Calibri" w:hAnsi="Calibri" w:cs="Calibri"/>
                <w:b/>
                <w:bCs/>
                <w:color w:val="3F3F3F"/>
                <w:sz w:val="22"/>
                <w:szCs w:val="22"/>
              </w:rPr>
              <w:t>0,1</w:t>
            </w:r>
          </w:p>
        </w:tc>
        <w:tc>
          <w:tcPr>
            <w:tcW w:w="1315" w:type="dxa"/>
            <w:tcBorders>
              <w:top w:val="nil"/>
              <w:left w:val="nil"/>
              <w:bottom w:val="single" w:sz="4" w:space="0" w:color="3F3F3F"/>
              <w:right w:val="single" w:sz="4" w:space="0" w:color="3F3F3F"/>
            </w:tcBorders>
            <w:shd w:val="clear" w:color="000000" w:fill="F2F2F2"/>
            <w:noWrap/>
            <w:vAlign w:val="bottom"/>
            <w:hideMark/>
          </w:tcPr>
          <w:p w14:paraId="72A4BEC8" w14:textId="77777777" w:rsidR="00CE54EE" w:rsidRDefault="00CE54EE" w:rsidP="00CE54EE">
            <w:pPr>
              <w:spacing w:line="240" w:lineRule="auto"/>
              <w:ind w:firstLine="0"/>
              <w:jc w:val="center"/>
              <w:rPr>
                <w:rFonts w:ascii="Calibri" w:hAnsi="Calibri" w:cs="Calibri"/>
                <w:b/>
                <w:bCs/>
                <w:color w:val="3F3F3F"/>
                <w:sz w:val="22"/>
                <w:szCs w:val="22"/>
              </w:rPr>
            </w:pPr>
            <w:r>
              <w:rPr>
                <w:rFonts w:ascii="Calibri" w:hAnsi="Calibri" w:cs="Calibri"/>
                <w:b/>
                <w:bCs/>
                <w:color w:val="3F3F3F"/>
                <w:sz w:val="22"/>
                <w:szCs w:val="22"/>
              </w:rPr>
              <w:t>0,2</w:t>
            </w:r>
          </w:p>
        </w:tc>
        <w:tc>
          <w:tcPr>
            <w:tcW w:w="1315" w:type="dxa"/>
            <w:tcBorders>
              <w:top w:val="nil"/>
              <w:left w:val="nil"/>
              <w:bottom w:val="single" w:sz="4" w:space="0" w:color="3F3F3F"/>
              <w:right w:val="single" w:sz="4" w:space="0" w:color="3F3F3F"/>
            </w:tcBorders>
            <w:shd w:val="clear" w:color="000000" w:fill="F2F2F2"/>
            <w:noWrap/>
            <w:vAlign w:val="bottom"/>
            <w:hideMark/>
          </w:tcPr>
          <w:p w14:paraId="3537E1A3" w14:textId="77777777" w:rsidR="00CE54EE" w:rsidRDefault="00CE54EE" w:rsidP="00CE54EE">
            <w:pPr>
              <w:spacing w:line="240" w:lineRule="auto"/>
              <w:ind w:firstLine="0"/>
              <w:jc w:val="center"/>
              <w:rPr>
                <w:rFonts w:ascii="Calibri" w:hAnsi="Calibri" w:cs="Calibri"/>
                <w:b/>
                <w:bCs/>
                <w:color w:val="3F3F3F"/>
                <w:sz w:val="22"/>
                <w:szCs w:val="22"/>
              </w:rPr>
            </w:pPr>
            <w:r>
              <w:rPr>
                <w:rFonts w:ascii="Calibri" w:hAnsi="Calibri" w:cs="Calibri"/>
                <w:b/>
                <w:bCs/>
                <w:color w:val="3F3F3F"/>
                <w:sz w:val="22"/>
                <w:szCs w:val="22"/>
              </w:rPr>
              <w:t>0,4</w:t>
            </w:r>
          </w:p>
        </w:tc>
        <w:tc>
          <w:tcPr>
            <w:tcW w:w="1315" w:type="dxa"/>
            <w:tcBorders>
              <w:top w:val="nil"/>
              <w:left w:val="nil"/>
              <w:bottom w:val="single" w:sz="4" w:space="0" w:color="3F3F3F"/>
              <w:right w:val="single" w:sz="4" w:space="0" w:color="3F3F3F"/>
            </w:tcBorders>
            <w:shd w:val="clear" w:color="000000" w:fill="F2F2F2"/>
            <w:noWrap/>
            <w:vAlign w:val="bottom"/>
            <w:hideMark/>
          </w:tcPr>
          <w:p w14:paraId="3BD8021B" w14:textId="77777777" w:rsidR="00CE54EE" w:rsidRDefault="00CE54EE" w:rsidP="00CE54EE">
            <w:pPr>
              <w:spacing w:line="240" w:lineRule="auto"/>
              <w:ind w:firstLine="0"/>
              <w:jc w:val="center"/>
              <w:rPr>
                <w:rFonts w:ascii="Calibri" w:hAnsi="Calibri" w:cs="Calibri"/>
                <w:b/>
                <w:bCs/>
                <w:color w:val="3F3F3F"/>
                <w:sz w:val="22"/>
                <w:szCs w:val="22"/>
              </w:rPr>
            </w:pPr>
            <w:r>
              <w:rPr>
                <w:rFonts w:ascii="Calibri" w:hAnsi="Calibri" w:cs="Calibri"/>
                <w:b/>
                <w:bCs/>
                <w:color w:val="3F3F3F"/>
                <w:sz w:val="22"/>
                <w:szCs w:val="22"/>
              </w:rPr>
              <w:t>0,8</w:t>
            </w:r>
          </w:p>
        </w:tc>
      </w:tr>
      <w:tr w:rsidR="00CE54EE" w14:paraId="790C1AAF" w14:textId="77777777" w:rsidTr="00CE54EE">
        <w:trPr>
          <w:trHeight w:val="300"/>
          <w:jc w:val="center"/>
        </w:trPr>
        <w:tc>
          <w:tcPr>
            <w:tcW w:w="2116" w:type="dxa"/>
            <w:tcBorders>
              <w:top w:val="nil"/>
              <w:left w:val="single" w:sz="4" w:space="0" w:color="3F3F3F"/>
              <w:bottom w:val="single" w:sz="4" w:space="0" w:color="3F3F3F"/>
              <w:right w:val="single" w:sz="4" w:space="0" w:color="3F3F3F"/>
            </w:tcBorders>
            <w:shd w:val="clear" w:color="000000" w:fill="F2F2F2"/>
            <w:noWrap/>
            <w:vAlign w:val="bottom"/>
            <w:hideMark/>
          </w:tcPr>
          <w:p w14:paraId="66B950B5" w14:textId="77777777" w:rsidR="00CE54EE" w:rsidRDefault="00CE54EE" w:rsidP="00CE54EE">
            <w:pPr>
              <w:spacing w:line="240" w:lineRule="auto"/>
              <w:ind w:firstLine="0"/>
              <w:jc w:val="center"/>
              <w:rPr>
                <w:rFonts w:ascii="Calibri" w:hAnsi="Calibri" w:cs="Calibri"/>
                <w:b/>
                <w:bCs/>
                <w:color w:val="3F3F3F"/>
                <w:sz w:val="22"/>
                <w:szCs w:val="22"/>
              </w:rPr>
            </w:pPr>
            <w:r>
              <w:rPr>
                <w:rFonts w:ascii="Calibri" w:hAnsi="Calibri" w:cs="Calibri"/>
                <w:b/>
                <w:bCs/>
                <w:color w:val="3F3F3F"/>
                <w:sz w:val="22"/>
                <w:szCs w:val="22"/>
              </w:rPr>
              <w:t>0,5</w:t>
            </w:r>
          </w:p>
        </w:tc>
        <w:tc>
          <w:tcPr>
            <w:tcW w:w="1426" w:type="dxa"/>
            <w:tcBorders>
              <w:top w:val="single" w:sz="4" w:space="0" w:color="7F7F7F"/>
              <w:left w:val="single" w:sz="4" w:space="0" w:color="7F7F7F"/>
              <w:bottom w:val="single" w:sz="4" w:space="0" w:color="7F7F7F"/>
              <w:right w:val="single" w:sz="4" w:space="0" w:color="7F7F7F"/>
            </w:tcBorders>
            <w:shd w:val="clear" w:color="000000" w:fill="C6EFCE"/>
            <w:noWrap/>
            <w:vAlign w:val="bottom"/>
            <w:hideMark/>
          </w:tcPr>
          <w:p w14:paraId="6E5A1A99"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0,025</w:t>
            </w:r>
          </w:p>
        </w:tc>
        <w:tc>
          <w:tcPr>
            <w:tcW w:w="1315" w:type="dxa"/>
            <w:tcBorders>
              <w:top w:val="single" w:sz="4" w:space="0" w:color="7F7F7F"/>
              <w:left w:val="nil"/>
              <w:bottom w:val="single" w:sz="4" w:space="0" w:color="7F7F7F"/>
              <w:right w:val="single" w:sz="4" w:space="0" w:color="7F7F7F"/>
            </w:tcBorders>
            <w:shd w:val="clear" w:color="000000" w:fill="C6EFCE"/>
            <w:noWrap/>
            <w:vAlign w:val="bottom"/>
            <w:hideMark/>
          </w:tcPr>
          <w:p w14:paraId="11BB6089"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0,05</w:t>
            </w:r>
          </w:p>
        </w:tc>
        <w:tc>
          <w:tcPr>
            <w:tcW w:w="1315" w:type="dxa"/>
            <w:tcBorders>
              <w:top w:val="single" w:sz="4" w:space="0" w:color="7F7F7F"/>
              <w:left w:val="nil"/>
              <w:bottom w:val="single" w:sz="4" w:space="0" w:color="7F7F7F"/>
              <w:right w:val="single" w:sz="4" w:space="0" w:color="7F7F7F"/>
            </w:tcBorders>
            <w:shd w:val="clear" w:color="000000" w:fill="FFEB9C"/>
            <w:noWrap/>
            <w:vAlign w:val="bottom"/>
            <w:hideMark/>
          </w:tcPr>
          <w:p w14:paraId="5C733279" w14:textId="77777777" w:rsidR="00CE54EE" w:rsidRDefault="00CE54EE" w:rsidP="00CE54EE">
            <w:pPr>
              <w:spacing w:line="240" w:lineRule="auto"/>
              <w:ind w:firstLine="0"/>
              <w:jc w:val="center"/>
              <w:rPr>
                <w:rFonts w:ascii="Calibri" w:hAnsi="Calibri" w:cs="Calibri"/>
                <w:color w:val="9C5700"/>
                <w:sz w:val="22"/>
                <w:szCs w:val="22"/>
              </w:rPr>
            </w:pPr>
            <w:r>
              <w:rPr>
                <w:rFonts w:ascii="Calibri" w:hAnsi="Calibri" w:cs="Calibri"/>
                <w:color w:val="9C5700"/>
                <w:sz w:val="22"/>
                <w:szCs w:val="22"/>
              </w:rPr>
              <w:t>0,1</w:t>
            </w:r>
          </w:p>
        </w:tc>
        <w:tc>
          <w:tcPr>
            <w:tcW w:w="1315" w:type="dxa"/>
            <w:tcBorders>
              <w:top w:val="single" w:sz="4" w:space="0" w:color="7F7F7F"/>
              <w:left w:val="nil"/>
              <w:bottom w:val="single" w:sz="4" w:space="0" w:color="7F7F7F"/>
              <w:right w:val="single" w:sz="4" w:space="0" w:color="7F7F7F"/>
            </w:tcBorders>
            <w:shd w:val="clear" w:color="000000" w:fill="FFC7CE"/>
            <w:noWrap/>
            <w:vAlign w:val="bottom"/>
            <w:hideMark/>
          </w:tcPr>
          <w:p w14:paraId="4A642978" w14:textId="77777777" w:rsidR="00CE54EE" w:rsidRDefault="00CE54EE" w:rsidP="00CE54EE">
            <w:pPr>
              <w:spacing w:line="240" w:lineRule="auto"/>
              <w:ind w:firstLine="0"/>
              <w:jc w:val="center"/>
              <w:rPr>
                <w:rFonts w:ascii="Calibri" w:hAnsi="Calibri" w:cs="Calibri"/>
                <w:color w:val="9C0006"/>
                <w:sz w:val="22"/>
                <w:szCs w:val="22"/>
              </w:rPr>
            </w:pPr>
            <w:r>
              <w:rPr>
                <w:rFonts w:ascii="Calibri" w:hAnsi="Calibri" w:cs="Calibri"/>
                <w:color w:val="9C0006"/>
                <w:sz w:val="22"/>
                <w:szCs w:val="22"/>
              </w:rPr>
              <w:t>0,2</w:t>
            </w:r>
          </w:p>
        </w:tc>
        <w:tc>
          <w:tcPr>
            <w:tcW w:w="1315" w:type="dxa"/>
            <w:tcBorders>
              <w:top w:val="single" w:sz="4" w:space="0" w:color="7F7F7F"/>
              <w:left w:val="nil"/>
              <w:bottom w:val="single" w:sz="4" w:space="0" w:color="7F7F7F"/>
              <w:right w:val="single" w:sz="4" w:space="0" w:color="7F7F7F"/>
            </w:tcBorders>
            <w:shd w:val="clear" w:color="000000" w:fill="FFC7CE"/>
            <w:noWrap/>
            <w:vAlign w:val="bottom"/>
            <w:hideMark/>
          </w:tcPr>
          <w:p w14:paraId="7F97AE71" w14:textId="77777777" w:rsidR="00CE54EE" w:rsidRDefault="00CE54EE" w:rsidP="00CE54EE">
            <w:pPr>
              <w:spacing w:line="240" w:lineRule="auto"/>
              <w:ind w:firstLine="0"/>
              <w:jc w:val="center"/>
              <w:rPr>
                <w:rFonts w:ascii="Calibri" w:hAnsi="Calibri" w:cs="Calibri"/>
                <w:color w:val="9C0006"/>
                <w:sz w:val="22"/>
                <w:szCs w:val="22"/>
              </w:rPr>
            </w:pPr>
            <w:r>
              <w:rPr>
                <w:rFonts w:ascii="Calibri" w:hAnsi="Calibri" w:cs="Calibri"/>
                <w:color w:val="9C0006"/>
                <w:sz w:val="22"/>
                <w:szCs w:val="22"/>
              </w:rPr>
              <w:t>0,4</w:t>
            </w:r>
          </w:p>
        </w:tc>
      </w:tr>
      <w:tr w:rsidR="00CE54EE" w14:paraId="662239AF" w14:textId="77777777" w:rsidTr="00CE54EE">
        <w:trPr>
          <w:trHeight w:val="300"/>
          <w:jc w:val="center"/>
        </w:trPr>
        <w:tc>
          <w:tcPr>
            <w:tcW w:w="2116" w:type="dxa"/>
            <w:tcBorders>
              <w:top w:val="nil"/>
              <w:left w:val="single" w:sz="4" w:space="0" w:color="3F3F3F"/>
              <w:bottom w:val="single" w:sz="4" w:space="0" w:color="3F3F3F"/>
              <w:right w:val="single" w:sz="4" w:space="0" w:color="3F3F3F"/>
            </w:tcBorders>
            <w:shd w:val="clear" w:color="000000" w:fill="F2F2F2"/>
            <w:noWrap/>
            <w:vAlign w:val="bottom"/>
            <w:hideMark/>
          </w:tcPr>
          <w:p w14:paraId="6068B2AB" w14:textId="77777777" w:rsidR="00CE54EE" w:rsidRDefault="00CE54EE" w:rsidP="00CE54EE">
            <w:pPr>
              <w:spacing w:line="240" w:lineRule="auto"/>
              <w:ind w:firstLine="0"/>
              <w:jc w:val="center"/>
              <w:rPr>
                <w:rFonts w:ascii="Calibri" w:hAnsi="Calibri" w:cs="Calibri"/>
                <w:b/>
                <w:bCs/>
                <w:color w:val="3F3F3F"/>
                <w:sz w:val="22"/>
                <w:szCs w:val="22"/>
              </w:rPr>
            </w:pPr>
            <w:r>
              <w:rPr>
                <w:rFonts w:ascii="Calibri" w:hAnsi="Calibri" w:cs="Calibri"/>
                <w:b/>
                <w:bCs/>
                <w:color w:val="3F3F3F"/>
                <w:sz w:val="22"/>
                <w:szCs w:val="22"/>
              </w:rPr>
              <w:t>0,2</w:t>
            </w:r>
          </w:p>
        </w:tc>
        <w:tc>
          <w:tcPr>
            <w:tcW w:w="1426" w:type="dxa"/>
            <w:tcBorders>
              <w:top w:val="nil"/>
              <w:left w:val="single" w:sz="4" w:space="0" w:color="7F7F7F"/>
              <w:bottom w:val="single" w:sz="4" w:space="0" w:color="7F7F7F"/>
              <w:right w:val="single" w:sz="4" w:space="0" w:color="7F7F7F"/>
            </w:tcBorders>
            <w:shd w:val="clear" w:color="000000" w:fill="C6EFCE"/>
            <w:noWrap/>
            <w:vAlign w:val="bottom"/>
            <w:hideMark/>
          </w:tcPr>
          <w:p w14:paraId="2B9B3725"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0,01</w:t>
            </w:r>
          </w:p>
        </w:tc>
        <w:tc>
          <w:tcPr>
            <w:tcW w:w="1315" w:type="dxa"/>
            <w:tcBorders>
              <w:top w:val="nil"/>
              <w:left w:val="nil"/>
              <w:bottom w:val="single" w:sz="4" w:space="0" w:color="7F7F7F"/>
              <w:right w:val="single" w:sz="4" w:space="0" w:color="7F7F7F"/>
            </w:tcBorders>
            <w:shd w:val="clear" w:color="000000" w:fill="C6EFCE"/>
            <w:noWrap/>
            <w:vAlign w:val="bottom"/>
            <w:hideMark/>
          </w:tcPr>
          <w:p w14:paraId="7C9F44EE"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0,02</w:t>
            </w:r>
          </w:p>
        </w:tc>
        <w:tc>
          <w:tcPr>
            <w:tcW w:w="1315" w:type="dxa"/>
            <w:tcBorders>
              <w:top w:val="nil"/>
              <w:left w:val="nil"/>
              <w:bottom w:val="single" w:sz="4" w:space="0" w:color="7F7F7F"/>
              <w:right w:val="single" w:sz="4" w:space="0" w:color="7F7F7F"/>
            </w:tcBorders>
            <w:shd w:val="clear" w:color="000000" w:fill="C6EFCE"/>
            <w:noWrap/>
            <w:vAlign w:val="bottom"/>
            <w:hideMark/>
          </w:tcPr>
          <w:p w14:paraId="05244B09"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0,04</w:t>
            </w:r>
          </w:p>
        </w:tc>
        <w:tc>
          <w:tcPr>
            <w:tcW w:w="1315" w:type="dxa"/>
            <w:tcBorders>
              <w:top w:val="nil"/>
              <w:left w:val="nil"/>
              <w:bottom w:val="single" w:sz="4" w:space="0" w:color="7F7F7F"/>
              <w:right w:val="single" w:sz="4" w:space="0" w:color="7F7F7F"/>
            </w:tcBorders>
            <w:shd w:val="clear" w:color="000000" w:fill="C6EFCE"/>
            <w:noWrap/>
            <w:vAlign w:val="bottom"/>
            <w:hideMark/>
          </w:tcPr>
          <w:p w14:paraId="5C5F5363"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0,08</w:t>
            </w:r>
          </w:p>
        </w:tc>
        <w:tc>
          <w:tcPr>
            <w:tcW w:w="1315" w:type="dxa"/>
            <w:tcBorders>
              <w:top w:val="nil"/>
              <w:left w:val="nil"/>
              <w:bottom w:val="single" w:sz="4" w:space="0" w:color="7F7F7F"/>
              <w:right w:val="single" w:sz="4" w:space="0" w:color="7F7F7F"/>
            </w:tcBorders>
            <w:shd w:val="clear" w:color="000000" w:fill="FFEB9C"/>
            <w:noWrap/>
            <w:vAlign w:val="bottom"/>
            <w:hideMark/>
          </w:tcPr>
          <w:p w14:paraId="500EE2DE" w14:textId="77777777" w:rsidR="00CE54EE" w:rsidRDefault="00CE54EE" w:rsidP="00CE54EE">
            <w:pPr>
              <w:spacing w:line="240" w:lineRule="auto"/>
              <w:ind w:firstLine="0"/>
              <w:jc w:val="center"/>
              <w:rPr>
                <w:rFonts w:ascii="Calibri" w:hAnsi="Calibri" w:cs="Calibri"/>
                <w:color w:val="9C5700"/>
                <w:sz w:val="22"/>
                <w:szCs w:val="22"/>
              </w:rPr>
            </w:pPr>
            <w:r>
              <w:rPr>
                <w:rFonts w:ascii="Calibri" w:hAnsi="Calibri" w:cs="Calibri"/>
                <w:color w:val="9C5700"/>
                <w:sz w:val="22"/>
                <w:szCs w:val="22"/>
              </w:rPr>
              <w:t>0,16</w:t>
            </w:r>
          </w:p>
        </w:tc>
      </w:tr>
      <w:tr w:rsidR="00CE54EE" w14:paraId="3EA8316E" w14:textId="77777777" w:rsidTr="00CE54EE">
        <w:trPr>
          <w:trHeight w:val="300"/>
          <w:jc w:val="center"/>
        </w:trPr>
        <w:tc>
          <w:tcPr>
            <w:tcW w:w="2116" w:type="dxa"/>
            <w:tcBorders>
              <w:top w:val="nil"/>
              <w:left w:val="single" w:sz="4" w:space="0" w:color="3F3F3F"/>
              <w:bottom w:val="single" w:sz="4" w:space="0" w:color="3F3F3F"/>
              <w:right w:val="single" w:sz="4" w:space="0" w:color="3F3F3F"/>
            </w:tcBorders>
            <w:shd w:val="clear" w:color="000000" w:fill="F2F2F2"/>
            <w:noWrap/>
            <w:vAlign w:val="bottom"/>
            <w:hideMark/>
          </w:tcPr>
          <w:p w14:paraId="4A0BE303" w14:textId="77777777" w:rsidR="00CE54EE" w:rsidRDefault="00CE54EE" w:rsidP="00CE54EE">
            <w:pPr>
              <w:spacing w:line="240" w:lineRule="auto"/>
              <w:ind w:firstLine="0"/>
              <w:jc w:val="center"/>
              <w:rPr>
                <w:rFonts w:ascii="Calibri" w:hAnsi="Calibri" w:cs="Calibri"/>
                <w:b/>
                <w:bCs/>
                <w:color w:val="3F3F3F"/>
                <w:sz w:val="22"/>
                <w:szCs w:val="22"/>
              </w:rPr>
            </w:pPr>
            <w:r>
              <w:rPr>
                <w:rFonts w:ascii="Calibri" w:hAnsi="Calibri" w:cs="Calibri"/>
                <w:b/>
                <w:bCs/>
                <w:color w:val="3F3F3F"/>
                <w:sz w:val="22"/>
                <w:szCs w:val="22"/>
              </w:rPr>
              <w:t>0,2</w:t>
            </w:r>
          </w:p>
        </w:tc>
        <w:tc>
          <w:tcPr>
            <w:tcW w:w="1426" w:type="dxa"/>
            <w:tcBorders>
              <w:top w:val="nil"/>
              <w:left w:val="single" w:sz="4" w:space="0" w:color="7F7F7F"/>
              <w:bottom w:val="single" w:sz="4" w:space="0" w:color="7F7F7F"/>
              <w:right w:val="single" w:sz="4" w:space="0" w:color="7F7F7F"/>
            </w:tcBorders>
            <w:shd w:val="clear" w:color="000000" w:fill="C6EFCE"/>
            <w:noWrap/>
            <w:vAlign w:val="bottom"/>
            <w:hideMark/>
          </w:tcPr>
          <w:p w14:paraId="4510CE45"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0,01</w:t>
            </w:r>
          </w:p>
        </w:tc>
        <w:tc>
          <w:tcPr>
            <w:tcW w:w="1315" w:type="dxa"/>
            <w:tcBorders>
              <w:top w:val="nil"/>
              <w:left w:val="nil"/>
              <w:bottom w:val="single" w:sz="4" w:space="0" w:color="7F7F7F"/>
              <w:right w:val="single" w:sz="4" w:space="0" w:color="7F7F7F"/>
            </w:tcBorders>
            <w:shd w:val="clear" w:color="000000" w:fill="C6EFCE"/>
            <w:noWrap/>
            <w:vAlign w:val="bottom"/>
            <w:hideMark/>
          </w:tcPr>
          <w:p w14:paraId="30C60149"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0,02</w:t>
            </w:r>
          </w:p>
        </w:tc>
        <w:tc>
          <w:tcPr>
            <w:tcW w:w="1315" w:type="dxa"/>
            <w:tcBorders>
              <w:top w:val="nil"/>
              <w:left w:val="nil"/>
              <w:bottom w:val="single" w:sz="4" w:space="0" w:color="7F7F7F"/>
              <w:right w:val="single" w:sz="4" w:space="0" w:color="7F7F7F"/>
            </w:tcBorders>
            <w:shd w:val="clear" w:color="000000" w:fill="C6EFCE"/>
            <w:noWrap/>
            <w:vAlign w:val="bottom"/>
            <w:hideMark/>
          </w:tcPr>
          <w:p w14:paraId="372C2DA7"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0,04</w:t>
            </w:r>
          </w:p>
        </w:tc>
        <w:tc>
          <w:tcPr>
            <w:tcW w:w="1315" w:type="dxa"/>
            <w:tcBorders>
              <w:top w:val="nil"/>
              <w:left w:val="nil"/>
              <w:bottom w:val="single" w:sz="4" w:space="0" w:color="7F7F7F"/>
              <w:right w:val="single" w:sz="4" w:space="0" w:color="7F7F7F"/>
            </w:tcBorders>
            <w:shd w:val="clear" w:color="000000" w:fill="C6EFCE"/>
            <w:noWrap/>
            <w:vAlign w:val="bottom"/>
            <w:hideMark/>
          </w:tcPr>
          <w:p w14:paraId="34E03B3B" w14:textId="77777777" w:rsidR="00CE54EE" w:rsidRDefault="00CE54EE" w:rsidP="00CE54EE">
            <w:pPr>
              <w:spacing w:line="240" w:lineRule="auto"/>
              <w:ind w:firstLine="0"/>
              <w:jc w:val="center"/>
              <w:rPr>
                <w:rFonts w:ascii="Calibri" w:hAnsi="Calibri" w:cs="Calibri"/>
                <w:color w:val="006100"/>
                <w:sz w:val="22"/>
                <w:szCs w:val="22"/>
              </w:rPr>
            </w:pPr>
            <w:r>
              <w:rPr>
                <w:rFonts w:ascii="Calibri" w:hAnsi="Calibri" w:cs="Calibri"/>
                <w:color w:val="006100"/>
                <w:sz w:val="22"/>
                <w:szCs w:val="22"/>
              </w:rPr>
              <w:t>0,08</w:t>
            </w:r>
          </w:p>
        </w:tc>
        <w:tc>
          <w:tcPr>
            <w:tcW w:w="1315" w:type="dxa"/>
            <w:tcBorders>
              <w:top w:val="nil"/>
              <w:left w:val="nil"/>
              <w:bottom w:val="single" w:sz="4" w:space="0" w:color="7F7F7F"/>
              <w:right w:val="single" w:sz="4" w:space="0" w:color="7F7F7F"/>
            </w:tcBorders>
            <w:shd w:val="clear" w:color="000000" w:fill="FFEB9C"/>
            <w:noWrap/>
            <w:vAlign w:val="bottom"/>
            <w:hideMark/>
          </w:tcPr>
          <w:p w14:paraId="194D1EED" w14:textId="77777777" w:rsidR="00CE54EE" w:rsidRDefault="00CE54EE" w:rsidP="00CE54EE">
            <w:pPr>
              <w:spacing w:line="240" w:lineRule="auto"/>
              <w:ind w:firstLine="0"/>
              <w:jc w:val="center"/>
              <w:rPr>
                <w:rFonts w:ascii="Calibri" w:hAnsi="Calibri" w:cs="Calibri"/>
                <w:color w:val="9C5700"/>
                <w:sz w:val="22"/>
                <w:szCs w:val="22"/>
              </w:rPr>
            </w:pPr>
            <w:r>
              <w:rPr>
                <w:rFonts w:ascii="Calibri" w:hAnsi="Calibri" w:cs="Calibri"/>
                <w:color w:val="9C5700"/>
                <w:sz w:val="22"/>
                <w:szCs w:val="22"/>
              </w:rPr>
              <w:t>0,16</w:t>
            </w:r>
          </w:p>
        </w:tc>
      </w:tr>
    </w:tbl>
    <w:p w14:paraId="557D1FCD" w14:textId="77777777" w:rsidR="00CD3E87" w:rsidRDefault="00CD3E87" w:rsidP="00895748">
      <w:pPr>
        <w:ind w:firstLine="0"/>
        <w:jc w:val="both"/>
      </w:pPr>
    </w:p>
    <w:p w14:paraId="3C39E951" w14:textId="77777777" w:rsidR="00895748" w:rsidRDefault="00895748" w:rsidP="00895748">
      <w:pPr>
        <w:ind w:firstLine="0"/>
        <w:jc w:val="both"/>
        <w:rPr>
          <w:b/>
        </w:rPr>
      </w:pPr>
      <w:r w:rsidRPr="00895748">
        <w:rPr>
          <w:b/>
        </w:rPr>
        <w:t>Задание 2. Количественный анализ рисков</w:t>
      </w:r>
    </w:p>
    <w:p w14:paraId="14B8AD35" w14:textId="77777777" w:rsidR="00895748" w:rsidRDefault="00895748" w:rsidP="00895748">
      <w:pPr>
        <w:ind w:firstLine="0"/>
        <w:jc w:val="both"/>
        <w:rPr>
          <w:b/>
        </w:rPr>
      </w:pPr>
    </w:p>
    <w:p w14:paraId="0BD9897F" w14:textId="77777777" w:rsidR="00895748" w:rsidRDefault="00895748" w:rsidP="00895748">
      <w:pPr>
        <w:jc w:val="both"/>
      </w:pPr>
      <w:r>
        <w:t xml:space="preserve">Руководство компании CoCompany приняло решение о расширении организационного и географического объема проекта внедрения КИС. В связи с этим руководителю проекта необходимо проанализировать две взаимоисключающие стратегии внедрения КИС на географически распределенных объектах: стратегию большого взрыва и стратегию тиражирования пилотного проекта, </w:t>
      </w:r>
    </w:p>
    <w:p w14:paraId="337C8C4D" w14:textId="77777777" w:rsidR="00895748" w:rsidRDefault="00895748" w:rsidP="00895748">
      <w:pPr>
        <w:jc w:val="both"/>
      </w:pPr>
      <w:r>
        <w:t>– и принять решение о стратегии внедрения КИС.</w:t>
      </w:r>
    </w:p>
    <w:p w14:paraId="4C1F4488" w14:textId="77777777" w:rsidR="00895748" w:rsidRDefault="00895748" w:rsidP="00895748">
      <w:pPr>
        <w:jc w:val="both"/>
      </w:pPr>
      <w:r>
        <w:t xml:space="preserve">Предполагается, что реализация проекта в соответствии со стратегией большого взрыва займет не более 25 месяцев, тогда как при использовании стратегии тиражирования пилотного проекта – 40 месяцев. Самое ранее завершение проекта позволит компании раньше начать получение отдачи от </w:t>
      </w:r>
      <w:r>
        <w:lastRenderedPageBreak/>
        <w:t>произведенных инвестиций, произвести запланированное размещение на Лондонской бирже по более высокой ставке на общую сумму €125 млн. Упущенные выгоды в месяц составляют €30 тыс., а размещение без внедренной системы будет произведено на общую сумму в €110 млн.</w:t>
      </w:r>
    </w:p>
    <w:p w14:paraId="6694F816" w14:textId="77777777" w:rsidR="00895748" w:rsidRDefault="00895748" w:rsidP="00895748">
      <w:pPr>
        <w:jc w:val="both"/>
      </w:pPr>
      <w:r>
        <w:t>В CoCompany, кроме проекта внедрения КИС, ведутся параллельные проекты, результаты которых необходимы для старта проекта компании BigCo. Кроме того, большая часть ресурсов, которые впоследствии будут использованы на проекте внедрения КИС, задействована на тех проектах. По плану, параллельные проекты должны быть завершены к моменту, когда ресурсы потребуются для реализации проекта внедрения КИС с применением стратегии большого взрыва.</w:t>
      </w:r>
    </w:p>
    <w:p w14:paraId="7BFE464B" w14:textId="77777777" w:rsidR="00895748" w:rsidRDefault="00895748" w:rsidP="00895748">
      <w:pPr>
        <w:jc w:val="both"/>
      </w:pPr>
      <w:r>
        <w:t>Реализация стратегии тиражирования пилотного проекта подразумевает меньшее количество привлекаемых ресурсов и более низкую интенсивность работ. По указанной причине завершение параллельных проектов в срок не является критичным для реализации проекта в соответствии с данной стратегией. К тому же, после успешной реализации «пилота» и получения подтверждения о завершении параллельных проектов у руководителя проекта есть возможность принять решение о тиражировании ТПР сразу на все бизнес-единицы, что добавит к стоимости проекта тиражирования</w:t>
      </w:r>
    </w:p>
    <w:p w14:paraId="64DBB76F" w14:textId="77777777" w:rsidR="00895748" w:rsidRDefault="00895748" w:rsidP="00895748">
      <w:pPr>
        <w:jc w:val="both"/>
      </w:pPr>
      <w:r>
        <w:t>€2 млн. В этом случае продолжительность проекта составит 30 месяцев, и компания успеет произвести размещение по повышенной ставке на общую сумму €125 млн.</w:t>
      </w:r>
    </w:p>
    <w:p w14:paraId="5C1917D5" w14:textId="77777777" w:rsidR="00895748" w:rsidRDefault="00895748" w:rsidP="00895748">
      <w:pPr>
        <w:jc w:val="both"/>
      </w:pPr>
      <w:r>
        <w:t>В ходе экспертного анализа были получены следующие данные.</w:t>
      </w:r>
    </w:p>
    <w:p w14:paraId="49B41F8B" w14:textId="77777777" w:rsidR="00895748" w:rsidRDefault="00895748" w:rsidP="00895748">
      <w:pPr>
        <w:jc w:val="both"/>
      </w:pPr>
      <w:r>
        <w:t>●</w:t>
      </w:r>
      <w:r>
        <w:tab/>
        <w:t>Вероятность завершения параллельных проектов в срок и своевременное выделение всех необходимых ресурсов ожидается с вероятностью 0,5.</w:t>
      </w:r>
    </w:p>
    <w:p w14:paraId="1E2AF72F" w14:textId="77777777" w:rsidR="00895748" w:rsidRDefault="00895748" w:rsidP="00895748">
      <w:pPr>
        <w:jc w:val="both"/>
      </w:pPr>
      <w:r>
        <w:t>●</w:t>
      </w:r>
      <w:r>
        <w:tab/>
        <w:t>С вероятностью 0,2 ожидается завершение работ по параллельным проектам к моменту завершения пилота с незначительными проблемами по высвобождению ресурсов, а с вероятностью 0,3 – сильное отклонение по срокам на параллельных проектах.</w:t>
      </w:r>
    </w:p>
    <w:p w14:paraId="715977D3" w14:textId="77777777" w:rsidR="00895748" w:rsidRDefault="00895748" w:rsidP="00895748">
      <w:pPr>
        <w:jc w:val="both"/>
      </w:pPr>
      <w:r>
        <w:lastRenderedPageBreak/>
        <w:t>●</w:t>
      </w:r>
      <w:r>
        <w:tab/>
        <w:t>При тиражировании «пилота» сразу на все бизнес-единицы могут возникнуть проблемы с окончательным высвобождением ресурсов с параллельных проектов, тогда продолжительность проекта составит 42 месяца и размещение будет произведено по обычной ставке на общую сумму €110 млн.</w:t>
      </w:r>
    </w:p>
    <w:p w14:paraId="1056CADF" w14:textId="77777777" w:rsidR="00895748" w:rsidRDefault="00895748" w:rsidP="00895748">
      <w:pPr>
        <w:jc w:val="both"/>
      </w:pPr>
      <w:r>
        <w:t>●</w:t>
      </w:r>
      <w:r>
        <w:tab/>
        <w:t>Если в случае успешной реализации «пилота» и получения подтверждения о завершении параллельных проектов руководитель принимает решение о постепенном тиражировании и не возникает проблем с окончательным высвобождение ресурсов с параллельных проектов, то длительность проекта составит 44 месяца, ввиду избыточного количества ресурсов.</w:t>
      </w:r>
    </w:p>
    <w:p w14:paraId="6CB1922B" w14:textId="77777777" w:rsidR="00895748" w:rsidRDefault="00895748" w:rsidP="00895748">
      <w:pPr>
        <w:jc w:val="both"/>
      </w:pPr>
      <w:r>
        <w:t>Также была совершена оценка проектных работ и получены следующие данные.</w:t>
      </w:r>
    </w:p>
    <w:p w14:paraId="73416E8F" w14:textId="77777777" w:rsidR="00895748" w:rsidRDefault="00895748" w:rsidP="00895748">
      <w:pPr>
        <w:jc w:val="both"/>
      </w:pPr>
      <w:r>
        <w:t>●</w:t>
      </w:r>
      <w:r>
        <w:tab/>
        <w:t>Внедрение «большим взрывом» при отклонении установленных проектов от запланированных сроков продлится 50 месяцев, поскольку потребуется ждать завершения проектов и возникнут проблемы с интеграцией.</w:t>
      </w:r>
    </w:p>
    <w:p w14:paraId="303B565E" w14:textId="77777777" w:rsidR="00895748" w:rsidRDefault="00895748" w:rsidP="00895748">
      <w:pPr>
        <w:jc w:val="both"/>
      </w:pPr>
      <w:r>
        <w:t>●</w:t>
      </w:r>
      <w:r>
        <w:tab/>
        <w:t>На основе сделанной оценки стоимости проектных работ было установлено:</w:t>
      </w:r>
    </w:p>
    <w:p w14:paraId="6F6D15B5" w14:textId="77777777" w:rsidR="00895748" w:rsidRDefault="00895748" w:rsidP="00895748">
      <w:pPr>
        <w:jc w:val="both"/>
      </w:pPr>
      <w:r>
        <w:t>○</w:t>
      </w:r>
      <w:r>
        <w:tab/>
        <w:t>Проект «большого взрыва» будет стоить €6 млн.</w:t>
      </w:r>
    </w:p>
    <w:p w14:paraId="46E6BE7C" w14:textId="77777777" w:rsidR="00895748" w:rsidRDefault="00895748" w:rsidP="00895748">
      <w:pPr>
        <w:jc w:val="both"/>
      </w:pPr>
      <w:r>
        <w:t>○</w:t>
      </w:r>
      <w:r>
        <w:tab/>
        <w:t>Проект «тиражирование пилотного проекта» будет стоить €5 млн.</w:t>
      </w:r>
    </w:p>
    <w:p w14:paraId="1D266D19" w14:textId="77777777" w:rsidR="00895748" w:rsidRDefault="00895748" w:rsidP="00895748">
      <w:pPr>
        <w:jc w:val="both"/>
      </w:pPr>
      <w:r>
        <w:t>○</w:t>
      </w:r>
      <w:r>
        <w:tab/>
        <w:t>Проект «тиражирование пилотного проекта» сразу на все бизнес-единицы будет стоить €7 млн (=</w:t>
      </w:r>
    </w:p>
    <w:p w14:paraId="66340796" w14:textId="77777777" w:rsidR="00895748" w:rsidRDefault="00895748" w:rsidP="00895748">
      <w:pPr>
        <w:jc w:val="both"/>
      </w:pPr>
      <w:r>
        <w:t>€5 млн + €2 млн).</w:t>
      </w:r>
    </w:p>
    <w:p w14:paraId="7513E579" w14:textId="77777777" w:rsidR="00895748" w:rsidRDefault="00895748" w:rsidP="00895748">
      <w:pPr>
        <w:jc w:val="both"/>
      </w:pPr>
      <w:r>
        <w:t>Рассмотрите ситуации при помощи метода «дерево принятия решений», на основе количественной (финансовой) оценки каждого из возможного исходов сформируйте свои рекомендации по выбору стратегии внедрения КИС.</w:t>
      </w:r>
    </w:p>
    <w:p w14:paraId="175746F3" w14:textId="77777777" w:rsidR="005F646C" w:rsidRDefault="005F646C" w:rsidP="005F646C">
      <w:pPr>
        <w:jc w:val="both"/>
      </w:pPr>
    </w:p>
    <w:p w14:paraId="0A4992A6" w14:textId="77777777" w:rsidR="005F646C" w:rsidRDefault="005F646C" w:rsidP="005F646C">
      <w:pPr>
        <w:ind w:firstLine="0"/>
        <w:jc w:val="center"/>
        <w:rPr>
          <w:b/>
          <w:i/>
        </w:rPr>
      </w:pPr>
      <w:r>
        <w:rPr>
          <w:b/>
          <w:i/>
        </w:rPr>
        <w:t>Ход выполнения:</w:t>
      </w:r>
    </w:p>
    <w:p w14:paraId="438BB0E3" w14:textId="77777777" w:rsidR="005F646C" w:rsidRDefault="005F646C" w:rsidP="00895748">
      <w:pPr>
        <w:jc w:val="both"/>
      </w:pPr>
    </w:p>
    <w:p w14:paraId="610DD259" w14:textId="77777777" w:rsidR="00295AF0" w:rsidRDefault="00295AF0" w:rsidP="00895748">
      <w:pPr>
        <w:jc w:val="both"/>
      </w:pPr>
      <w:r>
        <w:lastRenderedPageBreak/>
        <w:t xml:space="preserve">На рисунке 1 представлено дерево принятия решений, из которого видно, что стратегия </w:t>
      </w:r>
      <w:r w:rsidR="00B30A78">
        <w:t>«Большого взрыва» занимает 33.5 дня, а стратегия «Тиражирования пилота» занимает 41.6 дней. Отсюда можно сделать вывод, что стратегия «Большого взрыва» более выгодная для проекта.</w:t>
      </w:r>
    </w:p>
    <w:p w14:paraId="6A4B9106" w14:textId="77777777" w:rsidR="00B30A78" w:rsidRDefault="00B30A78" w:rsidP="00895748">
      <w:pPr>
        <w:jc w:val="both"/>
      </w:pPr>
    </w:p>
    <w:p w14:paraId="70077436" w14:textId="77777777" w:rsidR="00295AF0" w:rsidRDefault="00295AF0" w:rsidP="00295AF0">
      <w:pPr>
        <w:ind w:firstLine="0"/>
        <w:jc w:val="center"/>
      </w:pPr>
      <w:r>
        <w:rPr>
          <w:noProof/>
        </w:rPr>
        <w:drawing>
          <wp:inline distT="0" distB="0" distL="0" distR="0" wp14:anchorId="51842781" wp14:editId="55EC585A">
            <wp:extent cx="5633085" cy="2673985"/>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3085" cy="2673985"/>
                    </a:xfrm>
                    <a:prstGeom prst="rect">
                      <a:avLst/>
                    </a:prstGeom>
                    <a:noFill/>
                    <a:ln>
                      <a:noFill/>
                    </a:ln>
                  </pic:spPr>
                </pic:pic>
              </a:graphicData>
            </a:graphic>
          </wp:inline>
        </w:drawing>
      </w:r>
    </w:p>
    <w:p w14:paraId="69021E12" w14:textId="77777777" w:rsidR="00295AF0" w:rsidRDefault="00295AF0" w:rsidP="00295AF0">
      <w:pPr>
        <w:ind w:firstLine="0"/>
        <w:jc w:val="center"/>
      </w:pPr>
      <w:r>
        <w:t>Рисунок 1 – Дерево принятия решений</w:t>
      </w:r>
    </w:p>
    <w:p w14:paraId="11488C75" w14:textId="77777777" w:rsidR="004A37F0" w:rsidRDefault="004A37F0" w:rsidP="00295AF0">
      <w:pPr>
        <w:ind w:firstLine="0"/>
        <w:jc w:val="center"/>
      </w:pPr>
    </w:p>
    <w:p w14:paraId="274117E8" w14:textId="77777777" w:rsidR="004A37F0" w:rsidRDefault="004A37F0" w:rsidP="00295AF0">
      <w:pPr>
        <w:ind w:firstLine="0"/>
        <w:jc w:val="center"/>
        <w:rPr>
          <w:b/>
          <w:i/>
        </w:rPr>
      </w:pPr>
      <w:r w:rsidRPr="004A37F0">
        <w:rPr>
          <w:b/>
          <w:i/>
        </w:rPr>
        <w:t>Контрольные вопросы:</w:t>
      </w:r>
    </w:p>
    <w:p w14:paraId="073EE9FD" w14:textId="77777777" w:rsidR="004A37F0" w:rsidRDefault="004A37F0" w:rsidP="004A37F0">
      <w:pPr>
        <w:pStyle w:val="a0"/>
        <w:numPr>
          <w:ilvl w:val="0"/>
          <w:numId w:val="3"/>
        </w:numPr>
        <w:ind w:left="0" w:firstLine="709"/>
        <w:jc w:val="both"/>
      </w:pPr>
      <w:r w:rsidRPr="004A37F0">
        <w:t>Проектный риск – событие или условие, которое, если оно случается, имеет отрицательное влияние на цели проекта (нежелательные последствия = стоимость, сроки, содержание, качество).</w:t>
      </w:r>
    </w:p>
    <w:p w14:paraId="13A3460F" w14:textId="77777777" w:rsidR="004A37F0" w:rsidRDefault="004A37F0" w:rsidP="004A37F0">
      <w:pPr>
        <w:pStyle w:val="a0"/>
        <w:numPr>
          <w:ilvl w:val="0"/>
          <w:numId w:val="3"/>
        </w:numPr>
        <w:ind w:left="0" w:firstLine="709"/>
        <w:jc w:val="both"/>
      </w:pPr>
      <w:r w:rsidRPr="004A37F0">
        <w:t>Событие риска – потенциально возможное событие, которое может нанести ущерб или принести выгоды проекту.</w:t>
      </w:r>
    </w:p>
    <w:p w14:paraId="79C37B4C" w14:textId="77777777" w:rsidR="004A37F0" w:rsidRDefault="004A37F0" w:rsidP="004A37F0">
      <w:pPr>
        <w:pStyle w:val="a0"/>
        <w:numPr>
          <w:ilvl w:val="0"/>
          <w:numId w:val="3"/>
        </w:numPr>
        <w:ind w:left="0" w:firstLine="709"/>
        <w:jc w:val="both"/>
      </w:pPr>
      <w:r w:rsidRPr="004A37F0">
        <w:t>Величина риска - показатель, объединяющий вероятность возникновения риска и его последствия. Величина риска рассчитывается путем умножения вероятности возникновения риска на соответствующие последствия.</w:t>
      </w:r>
    </w:p>
    <w:p w14:paraId="5B5E083F" w14:textId="77777777" w:rsidR="004A37F0" w:rsidRDefault="004A37F0" w:rsidP="004A37F0">
      <w:pPr>
        <w:pStyle w:val="a0"/>
        <w:numPr>
          <w:ilvl w:val="0"/>
          <w:numId w:val="3"/>
        </w:numPr>
        <w:ind w:left="0" w:firstLine="709"/>
        <w:jc w:val="both"/>
      </w:pPr>
      <w:r w:rsidRPr="004A37F0">
        <w:t>Резерв для непредвиденных обстоятельств (или резерв для покрытия неопределенности)</w:t>
      </w:r>
      <w:r>
        <w:t>.</w:t>
      </w:r>
    </w:p>
    <w:p w14:paraId="416F399F" w14:textId="77777777" w:rsidR="004A37F0" w:rsidRDefault="004A37F0" w:rsidP="004A37F0">
      <w:pPr>
        <w:pStyle w:val="a0"/>
        <w:numPr>
          <w:ilvl w:val="0"/>
          <w:numId w:val="3"/>
        </w:numPr>
        <w:ind w:left="0" w:firstLine="709"/>
        <w:jc w:val="both"/>
      </w:pPr>
      <w:r w:rsidRPr="004A37F0">
        <w:t xml:space="preserve">Управленческий резерв - сумма денег или промежуток времени, не включаемые в базовый план стоимости или расписания проекта и </w:t>
      </w:r>
      <w:r w:rsidRPr="004A37F0">
        <w:lastRenderedPageBreak/>
        <w:t>используемый руководством для предотвращения негативных последствий ситуаций, которые невозможно спрогнозировать.</w:t>
      </w:r>
      <w:r>
        <w:t xml:space="preserve"> </w:t>
      </w:r>
    </w:p>
    <w:p w14:paraId="63024F58" w14:textId="77777777" w:rsidR="004A37F0" w:rsidRDefault="004A37F0" w:rsidP="004A37F0">
      <w:pPr>
        <w:pStyle w:val="a0"/>
        <w:numPr>
          <w:ilvl w:val="0"/>
          <w:numId w:val="3"/>
        </w:numPr>
        <w:ind w:left="0" w:firstLine="709"/>
        <w:jc w:val="both"/>
      </w:pPr>
      <w:r w:rsidRPr="004A37F0">
        <w:t>MSF видит в изменениях и возникающей из-за них неопределенности неотъемлемые части жизненного цикла информационных технологий.</w:t>
      </w:r>
      <w:r>
        <w:t xml:space="preserve"> </w:t>
      </w:r>
      <w:r w:rsidRPr="004A37F0">
        <w:t>Данная дисциплина предлагает принципы, идеи и рекомендации, подкрепленные описанием шестишагового процесса для успешного активного управления рисками. Этот процесс включает в себя выявление и анализ рисков; планирование и реализацию стратегий по их профилактике и смягчению возможных последствий; отслеживание состояния рисков и извлечение уроков из обретенного опыта.</w:t>
      </w:r>
    </w:p>
    <w:p w14:paraId="6AAAC0DA" w14:textId="77777777" w:rsidR="00A76CB1" w:rsidRDefault="004A37F0" w:rsidP="00A76CB1">
      <w:pPr>
        <w:pStyle w:val="a0"/>
        <w:numPr>
          <w:ilvl w:val="0"/>
          <w:numId w:val="3"/>
        </w:numPr>
        <w:ind w:left="0" w:firstLine="709"/>
        <w:jc w:val="both"/>
      </w:pPr>
      <w:r w:rsidRPr="004A37F0">
        <w:t>Матрица последствий и вероятностей (Probability and Impact Matrix) — средство объединения качественных или смешанных оценок последствий и вероятностей, применяется для определения или ранжирования уровня риска.</w:t>
      </w:r>
    </w:p>
    <w:p w14:paraId="33B55BE3" w14:textId="77777777" w:rsidR="00A76CB1" w:rsidRPr="00A76CB1" w:rsidRDefault="00A76CB1" w:rsidP="00A76CB1">
      <w:pPr>
        <w:pStyle w:val="a0"/>
        <w:numPr>
          <w:ilvl w:val="0"/>
          <w:numId w:val="3"/>
        </w:numPr>
        <w:ind w:left="0" w:firstLine="709"/>
        <w:jc w:val="both"/>
      </w:pPr>
      <w:r w:rsidRPr="00A76CB1">
        <w:t>Сравнение методов идентификации рисков</w:t>
      </w:r>
    </w:p>
    <w:tbl>
      <w:tblPr>
        <w:tblW w:w="10380" w:type="dxa"/>
        <w:tblInd w:w="-85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951"/>
        <w:gridCol w:w="3616"/>
        <w:gridCol w:w="2676"/>
        <w:gridCol w:w="2137"/>
      </w:tblGrid>
      <w:tr w:rsidR="00A76CB1" w:rsidRPr="00A76CB1" w14:paraId="51D330CD" w14:textId="77777777" w:rsidTr="00A76CB1">
        <w:tc>
          <w:tcPr>
            <w:tcW w:w="1951" w:type="dxa"/>
            <w:tcBorders>
              <w:top w:val="single" w:sz="6" w:space="0" w:color="000000"/>
              <w:left w:val="single" w:sz="6" w:space="0" w:color="000000"/>
              <w:bottom w:val="single" w:sz="6" w:space="0" w:color="000000"/>
              <w:right w:val="single" w:sz="6" w:space="0" w:color="000000"/>
            </w:tcBorders>
            <w:vAlign w:val="center"/>
            <w:hideMark/>
          </w:tcPr>
          <w:p w14:paraId="4F92F47F" w14:textId="77777777" w:rsidR="00A76CB1" w:rsidRPr="00A76CB1" w:rsidRDefault="00A76CB1">
            <w:pPr>
              <w:pStyle w:val="a6"/>
              <w:spacing w:before="0" w:beforeAutospacing="0" w:after="0" w:afterAutospacing="0"/>
              <w:jc w:val="center"/>
              <w:rPr>
                <w:color w:val="000000"/>
                <w:sz w:val="22"/>
                <w:szCs w:val="22"/>
              </w:rPr>
            </w:pPr>
            <w:r w:rsidRPr="00A76CB1">
              <w:rPr>
                <w:b/>
                <w:bCs/>
                <w:color w:val="000000"/>
                <w:sz w:val="22"/>
                <w:szCs w:val="22"/>
              </w:rPr>
              <w:t>Метод идентификации</w:t>
            </w:r>
          </w:p>
        </w:tc>
        <w:tc>
          <w:tcPr>
            <w:tcW w:w="3616" w:type="dxa"/>
            <w:tcBorders>
              <w:top w:val="single" w:sz="6" w:space="0" w:color="000000"/>
              <w:left w:val="single" w:sz="6" w:space="0" w:color="000000"/>
              <w:bottom w:val="single" w:sz="6" w:space="0" w:color="000000"/>
              <w:right w:val="single" w:sz="6" w:space="0" w:color="000000"/>
            </w:tcBorders>
            <w:hideMark/>
          </w:tcPr>
          <w:p w14:paraId="53BA8E97" w14:textId="77777777" w:rsidR="00A76CB1" w:rsidRPr="00A76CB1" w:rsidRDefault="00A76CB1">
            <w:pPr>
              <w:pStyle w:val="a6"/>
              <w:spacing w:before="0" w:beforeAutospacing="0" w:after="0" w:afterAutospacing="0"/>
              <w:jc w:val="center"/>
              <w:rPr>
                <w:color w:val="000000"/>
                <w:sz w:val="22"/>
                <w:szCs w:val="22"/>
              </w:rPr>
            </w:pPr>
            <w:r w:rsidRPr="00A76CB1">
              <w:rPr>
                <w:b/>
                <w:bCs/>
                <w:color w:val="000000"/>
                <w:sz w:val="22"/>
                <w:szCs w:val="22"/>
              </w:rPr>
              <w:t>Описание</w:t>
            </w:r>
          </w:p>
        </w:tc>
        <w:tc>
          <w:tcPr>
            <w:tcW w:w="2676" w:type="dxa"/>
            <w:tcBorders>
              <w:top w:val="single" w:sz="6" w:space="0" w:color="000000"/>
              <w:left w:val="single" w:sz="6" w:space="0" w:color="000000"/>
              <w:bottom w:val="single" w:sz="6" w:space="0" w:color="000000"/>
              <w:right w:val="single" w:sz="6" w:space="0" w:color="000000"/>
            </w:tcBorders>
            <w:vAlign w:val="center"/>
            <w:hideMark/>
          </w:tcPr>
          <w:p w14:paraId="36FD2A9F" w14:textId="77777777" w:rsidR="00A76CB1" w:rsidRPr="00A76CB1" w:rsidRDefault="00A76CB1">
            <w:pPr>
              <w:pStyle w:val="a6"/>
              <w:spacing w:before="0" w:beforeAutospacing="0" w:after="0" w:afterAutospacing="0"/>
              <w:jc w:val="center"/>
              <w:rPr>
                <w:color w:val="000000"/>
                <w:sz w:val="22"/>
                <w:szCs w:val="22"/>
              </w:rPr>
            </w:pPr>
            <w:r w:rsidRPr="00A76CB1">
              <w:rPr>
                <w:b/>
                <w:bCs/>
                <w:color w:val="000000"/>
                <w:sz w:val="22"/>
                <w:szCs w:val="22"/>
              </w:rPr>
              <w:t>Преимущества</w:t>
            </w:r>
          </w:p>
        </w:tc>
        <w:tc>
          <w:tcPr>
            <w:tcW w:w="2137" w:type="dxa"/>
            <w:tcBorders>
              <w:top w:val="single" w:sz="6" w:space="0" w:color="000000"/>
              <w:left w:val="single" w:sz="6" w:space="0" w:color="000000"/>
              <w:bottom w:val="single" w:sz="6" w:space="0" w:color="000000"/>
              <w:right w:val="single" w:sz="6" w:space="0" w:color="000000"/>
            </w:tcBorders>
            <w:vAlign w:val="center"/>
            <w:hideMark/>
          </w:tcPr>
          <w:p w14:paraId="2958E197" w14:textId="77777777" w:rsidR="00A76CB1" w:rsidRPr="00A76CB1" w:rsidRDefault="00A76CB1">
            <w:pPr>
              <w:pStyle w:val="a6"/>
              <w:spacing w:before="0" w:beforeAutospacing="0" w:after="0" w:afterAutospacing="0"/>
              <w:jc w:val="center"/>
              <w:rPr>
                <w:color w:val="000000"/>
                <w:sz w:val="22"/>
                <w:szCs w:val="22"/>
              </w:rPr>
            </w:pPr>
            <w:r w:rsidRPr="00A76CB1">
              <w:rPr>
                <w:b/>
                <w:bCs/>
                <w:color w:val="000000"/>
                <w:sz w:val="22"/>
                <w:szCs w:val="22"/>
              </w:rPr>
              <w:t>Недостатки</w:t>
            </w:r>
          </w:p>
        </w:tc>
      </w:tr>
      <w:tr w:rsidR="00A76CB1" w:rsidRPr="00A76CB1" w14:paraId="2343A45E" w14:textId="77777777" w:rsidTr="00A76CB1">
        <w:tc>
          <w:tcPr>
            <w:tcW w:w="1951" w:type="dxa"/>
            <w:tcBorders>
              <w:top w:val="single" w:sz="6" w:space="0" w:color="000000"/>
              <w:left w:val="single" w:sz="6" w:space="0" w:color="000000"/>
              <w:bottom w:val="single" w:sz="6" w:space="0" w:color="000000"/>
              <w:right w:val="single" w:sz="6" w:space="0" w:color="000000"/>
            </w:tcBorders>
            <w:hideMark/>
          </w:tcPr>
          <w:p w14:paraId="2E04053C"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Мозговой штурм</w:t>
            </w:r>
          </w:p>
        </w:tc>
        <w:tc>
          <w:tcPr>
            <w:tcW w:w="3616" w:type="dxa"/>
            <w:tcBorders>
              <w:top w:val="single" w:sz="6" w:space="0" w:color="000000"/>
              <w:left w:val="single" w:sz="6" w:space="0" w:color="000000"/>
              <w:bottom w:val="single" w:sz="6" w:space="0" w:color="000000"/>
              <w:right w:val="single" w:sz="6" w:space="0" w:color="000000"/>
            </w:tcBorders>
            <w:hideMark/>
          </w:tcPr>
          <w:p w14:paraId="6B49A3B0"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Целью мозгового штурма является создание подробного списка рисков проекта. Список рисков разрабатывается на собрании, в котором принимает участие 10-15 человек – члены команды проекта, часто совместно с участием экспертов из разных областей, не являющихся членами команды. Участники собрания называют риски, которые считают важными для проекта, при этом не допускается обсуждение выдвинутых рисков. Далее риски сортируют по категориям и уточняют.</w:t>
            </w:r>
          </w:p>
        </w:tc>
        <w:tc>
          <w:tcPr>
            <w:tcW w:w="2676" w:type="dxa"/>
            <w:tcBorders>
              <w:top w:val="single" w:sz="6" w:space="0" w:color="000000"/>
              <w:left w:val="single" w:sz="6" w:space="0" w:color="000000"/>
              <w:bottom w:val="single" w:sz="6" w:space="0" w:color="000000"/>
              <w:right w:val="single" w:sz="6" w:space="0" w:color="000000"/>
            </w:tcBorders>
            <w:hideMark/>
          </w:tcPr>
          <w:p w14:paraId="03198F6D"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Способствует взаимодействию членов группы.</w:t>
            </w:r>
          </w:p>
          <w:p w14:paraId="069FFF13"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Быстрый.</w:t>
            </w:r>
          </w:p>
          <w:p w14:paraId="43093167"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Недорогой</w:t>
            </w:r>
          </w:p>
        </w:tc>
        <w:tc>
          <w:tcPr>
            <w:tcW w:w="2137" w:type="dxa"/>
            <w:tcBorders>
              <w:top w:val="single" w:sz="6" w:space="0" w:color="000000"/>
              <w:left w:val="single" w:sz="6" w:space="0" w:color="000000"/>
              <w:bottom w:val="single" w:sz="6" w:space="0" w:color="000000"/>
              <w:right w:val="single" w:sz="6" w:space="0" w:color="000000"/>
            </w:tcBorders>
            <w:hideMark/>
          </w:tcPr>
          <w:p w14:paraId="52B92169"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Может проявиться преоблада</w:t>
            </w:r>
            <w:r w:rsidRPr="00A76CB1">
              <w:rPr>
                <w:color w:val="000000"/>
                <w:sz w:val="22"/>
                <w:szCs w:val="22"/>
              </w:rPr>
              <w:softHyphen/>
              <w:t>ние одной личности. Можно сосредоточиваться только в конкретных областях. Требует сильного ведущего. Для оценки необходимо контролировать склонности группы</w:t>
            </w:r>
          </w:p>
        </w:tc>
      </w:tr>
      <w:tr w:rsidR="00A76CB1" w:rsidRPr="00A76CB1" w14:paraId="2E2600C9" w14:textId="77777777" w:rsidTr="00A76CB1">
        <w:tc>
          <w:tcPr>
            <w:tcW w:w="1951" w:type="dxa"/>
            <w:tcBorders>
              <w:top w:val="single" w:sz="6" w:space="0" w:color="000000"/>
              <w:left w:val="single" w:sz="6" w:space="0" w:color="000000"/>
              <w:bottom w:val="single" w:sz="6" w:space="0" w:color="000000"/>
              <w:right w:val="single" w:sz="6" w:space="0" w:color="000000"/>
            </w:tcBorders>
            <w:hideMark/>
          </w:tcPr>
          <w:p w14:paraId="75058136"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Метод Delphi</w:t>
            </w:r>
          </w:p>
        </w:tc>
        <w:tc>
          <w:tcPr>
            <w:tcW w:w="3616" w:type="dxa"/>
            <w:tcBorders>
              <w:top w:val="single" w:sz="6" w:space="0" w:color="000000"/>
              <w:left w:val="single" w:sz="6" w:space="0" w:color="000000"/>
              <w:bottom w:val="single" w:sz="6" w:space="0" w:color="000000"/>
              <w:right w:val="single" w:sz="6" w:space="0" w:color="000000"/>
            </w:tcBorders>
            <w:hideMark/>
          </w:tcPr>
          <w:p w14:paraId="6F3AF75D"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 xml:space="preserve">Аналогичен методу мозгового штурма, но его участники не знают друг друга. Ведущий с помощью списка вопросов для получения идей, касающихся рисков проекта, собирает ответы экспертов. Далее ответы экспертов анализируются, распределяются по категориям и </w:t>
            </w:r>
            <w:r w:rsidRPr="00A76CB1">
              <w:rPr>
                <w:color w:val="000000"/>
                <w:sz w:val="22"/>
                <w:szCs w:val="22"/>
              </w:rPr>
              <w:lastRenderedPageBreak/>
              <w:t>возвращаются экспертам для дальнейших комментариев. Консенсус и список рисков получается через несколько циклов этого процесса. В методе Дельфи исключается давление со стороны коллег и боязнь неловкого положения при высказывании идеи.</w:t>
            </w:r>
          </w:p>
        </w:tc>
        <w:tc>
          <w:tcPr>
            <w:tcW w:w="2676" w:type="dxa"/>
            <w:tcBorders>
              <w:top w:val="single" w:sz="6" w:space="0" w:color="000000"/>
              <w:left w:val="single" w:sz="6" w:space="0" w:color="000000"/>
              <w:bottom w:val="single" w:sz="6" w:space="0" w:color="000000"/>
              <w:right w:val="single" w:sz="6" w:space="0" w:color="000000"/>
            </w:tcBorders>
            <w:hideMark/>
          </w:tcPr>
          <w:p w14:paraId="4430A9A4"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lastRenderedPageBreak/>
              <w:t xml:space="preserve">Нет доминирования одной личности. Может проводиться дистанционно, через электронную почту. Исключается проблема ранней оценки. Требует </w:t>
            </w:r>
            <w:r w:rsidRPr="00A76CB1">
              <w:rPr>
                <w:color w:val="000000"/>
                <w:sz w:val="22"/>
                <w:szCs w:val="22"/>
              </w:rPr>
              <w:lastRenderedPageBreak/>
              <w:t>участия каждого члена группы</w:t>
            </w:r>
          </w:p>
        </w:tc>
        <w:tc>
          <w:tcPr>
            <w:tcW w:w="2137" w:type="dxa"/>
            <w:tcBorders>
              <w:top w:val="single" w:sz="6" w:space="0" w:color="000000"/>
              <w:left w:val="single" w:sz="6" w:space="0" w:color="000000"/>
              <w:bottom w:val="single" w:sz="6" w:space="0" w:color="000000"/>
              <w:right w:val="single" w:sz="6" w:space="0" w:color="000000"/>
            </w:tcBorders>
            <w:hideMark/>
          </w:tcPr>
          <w:p w14:paraId="19E8BFFD"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lastRenderedPageBreak/>
              <w:t>Занимает много времени.</w:t>
            </w:r>
          </w:p>
          <w:p w14:paraId="111A045C"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Высокая загрузка ведущего</w:t>
            </w:r>
          </w:p>
        </w:tc>
      </w:tr>
      <w:tr w:rsidR="00A76CB1" w:rsidRPr="00A76CB1" w14:paraId="0BF8C4C9" w14:textId="77777777" w:rsidTr="00A76CB1">
        <w:tc>
          <w:tcPr>
            <w:tcW w:w="1951" w:type="dxa"/>
            <w:tcBorders>
              <w:top w:val="single" w:sz="6" w:space="0" w:color="000000"/>
              <w:left w:val="single" w:sz="6" w:space="0" w:color="000000"/>
              <w:bottom w:val="single" w:sz="6" w:space="0" w:color="000000"/>
              <w:right w:val="single" w:sz="6" w:space="0" w:color="000000"/>
            </w:tcBorders>
            <w:hideMark/>
          </w:tcPr>
          <w:p w14:paraId="02F8DDD0"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Метод номинальных групп</w:t>
            </w:r>
          </w:p>
        </w:tc>
        <w:tc>
          <w:tcPr>
            <w:tcW w:w="3616" w:type="dxa"/>
            <w:tcBorders>
              <w:top w:val="single" w:sz="6" w:space="0" w:color="000000"/>
              <w:left w:val="single" w:sz="6" w:space="0" w:color="000000"/>
              <w:bottom w:val="single" w:sz="6" w:space="0" w:color="000000"/>
              <w:right w:val="single" w:sz="6" w:space="0" w:color="000000"/>
            </w:tcBorders>
            <w:hideMark/>
          </w:tcPr>
          <w:p w14:paraId="20623048"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Позволяет идентифицировать и расположить риски в порядке их важности. Данный метод предполагает формирование группы из 7-10 экспертов. Каждый участник индивидуально и без обсуждений перечисляет видимые им риски проекта. Далее происходит совместное обсуждение всех выделенных рисков и повторное индивидуальное составление списка рисков в порядке их важности.</w:t>
            </w:r>
          </w:p>
        </w:tc>
        <w:tc>
          <w:tcPr>
            <w:tcW w:w="2676" w:type="dxa"/>
            <w:tcBorders>
              <w:top w:val="single" w:sz="6" w:space="0" w:color="000000"/>
              <w:left w:val="single" w:sz="6" w:space="0" w:color="000000"/>
              <w:bottom w:val="single" w:sz="6" w:space="0" w:color="000000"/>
              <w:right w:val="single" w:sz="6" w:space="0" w:color="000000"/>
            </w:tcBorders>
            <w:hideMark/>
          </w:tcPr>
          <w:p w14:paraId="71E30B14"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Уменьшается эффект доминирующей</w:t>
            </w:r>
          </w:p>
          <w:p w14:paraId="2E2CF5B4"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личности.</w:t>
            </w:r>
          </w:p>
          <w:p w14:paraId="0DDAC28D"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Обеспечивает взаимодействие участников.</w:t>
            </w:r>
          </w:p>
          <w:p w14:paraId="1C664BA1"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Дает упорядоченный список рисков</w:t>
            </w:r>
          </w:p>
        </w:tc>
        <w:tc>
          <w:tcPr>
            <w:tcW w:w="2137" w:type="dxa"/>
            <w:tcBorders>
              <w:top w:val="single" w:sz="6" w:space="0" w:color="000000"/>
              <w:left w:val="single" w:sz="6" w:space="0" w:color="000000"/>
              <w:bottom w:val="single" w:sz="6" w:space="0" w:color="000000"/>
              <w:right w:val="single" w:sz="6" w:space="0" w:color="000000"/>
            </w:tcBorders>
            <w:hideMark/>
          </w:tcPr>
          <w:p w14:paraId="1B702001"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Требует много времени.</w:t>
            </w:r>
          </w:p>
          <w:p w14:paraId="378888E7"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Высокая загрузка ведущего</w:t>
            </w:r>
          </w:p>
        </w:tc>
      </w:tr>
      <w:tr w:rsidR="00A76CB1" w:rsidRPr="00A76CB1" w14:paraId="6E67D5FD" w14:textId="77777777" w:rsidTr="00A76CB1">
        <w:tc>
          <w:tcPr>
            <w:tcW w:w="1951" w:type="dxa"/>
            <w:tcBorders>
              <w:top w:val="single" w:sz="6" w:space="0" w:color="000000"/>
              <w:left w:val="single" w:sz="6" w:space="0" w:color="000000"/>
              <w:bottom w:val="single" w:sz="6" w:space="0" w:color="000000"/>
              <w:right w:val="single" w:sz="6" w:space="0" w:color="000000"/>
            </w:tcBorders>
            <w:hideMark/>
          </w:tcPr>
          <w:p w14:paraId="61A215B4"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Карточки Кроуфорда</w:t>
            </w:r>
          </w:p>
        </w:tc>
        <w:tc>
          <w:tcPr>
            <w:tcW w:w="3616" w:type="dxa"/>
            <w:tcBorders>
              <w:top w:val="single" w:sz="6" w:space="0" w:color="000000"/>
              <w:left w:val="single" w:sz="6" w:space="0" w:color="000000"/>
              <w:bottom w:val="single" w:sz="6" w:space="0" w:color="000000"/>
              <w:right w:val="single" w:sz="6" w:space="0" w:color="000000"/>
            </w:tcBorders>
            <w:hideMark/>
          </w:tcPr>
          <w:p w14:paraId="22278D8F"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Обычно собирается группа из 7-10 экспертов. Ведущий сообщает, что задаст группе 10 вопросов, на каждый из которых участник письменно, на отдельном листе бумаги, должен дать ответ. Вопрос о том, какой из рисков является наиболее важным для проекта, ведущий задает несколько раз. Каждый участник вынужден обдумать десять различных рисков проекта.</w:t>
            </w:r>
          </w:p>
        </w:tc>
        <w:tc>
          <w:tcPr>
            <w:tcW w:w="2676" w:type="dxa"/>
            <w:tcBorders>
              <w:top w:val="single" w:sz="6" w:space="0" w:color="000000"/>
              <w:left w:val="single" w:sz="6" w:space="0" w:color="000000"/>
              <w:bottom w:val="single" w:sz="6" w:space="0" w:color="000000"/>
              <w:right w:val="single" w:sz="6" w:space="0" w:color="000000"/>
            </w:tcBorders>
            <w:hideMark/>
          </w:tcPr>
          <w:p w14:paraId="626E6164"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Быстрый.</w:t>
            </w:r>
          </w:p>
          <w:p w14:paraId="3F9B2D3E"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Легко реализуется.</w:t>
            </w:r>
          </w:p>
          <w:p w14:paraId="3F237D4A"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Должен участвовать каждый член группы.</w:t>
            </w:r>
          </w:p>
          <w:p w14:paraId="4F8A4A96"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Вырабатывается большое количество идей.</w:t>
            </w:r>
          </w:p>
          <w:p w14:paraId="075C3A02"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Можно проводить с группами больше</w:t>
            </w:r>
          </w:p>
          <w:p w14:paraId="782A0636"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обычного размера.</w:t>
            </w:r>
          </w:p>
          <w:p w14:paraId="7F3D3B40"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Уменьшает эффект доминирующей личности</w:t>
            </w:r>
          </w:p>
        </w:tc>
        <w:tc>
          <w:tcPr>
            <w:tcW w:w="2137" w:type="dxa"/>
            <w:tcBorders>
              <w:top w:val="single" w:sz="6" w:space="0" w:color="000000"/>
              <w:left w:val="single" w:sz="6" w:space="0" w:color="000000"/>
              <w:bottom w:val="single" w:sz="6" w:space="0" w:color="000000"/>
              <w:right w:val="single" w:sz="6" w:space="0" w:color="000000"/>
            </w:tcBorders>
            <w:hideMark/>
          </w:tcPr>
          <w:p w14:paraId="6B170D58"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Меньшее взаимодействие между участниками</w:t>
            </w:r>
          </w:p>
        </w:tc>
      </w:tr>
      <w:tr w:rsidR="00A76CB1" w:rsidRPr="00A76CB1" w14:paraId="2E5D6243" w14:textId="77777777" w:rsidTr="00A76CB1">
        <w:tc>
          <w:tcPr>
            <w:tcW w:w="1951" w:type="dxa"/>
            <w:tcBorders>
              <w:top w:val="single" w:sz="6" w:space="0" w:color="000000"/>
              <w:left w:val="single" w:sz="6" w:space="0" w:color="000000"/>
              <w:bottom w:val="single" w:sz="6" w:space="0" w:color="000000"/>
              <w:right w:val="single" w:sz="6" w:space="0" w:color="000000"/>
            </w:tcBorders>
            <w:hideMark/>
          </w:tcPr>
          <w:p w14:paraId="20892FD7"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Опрос экспертов</w:t>
            </w:r>
          </w:p>
        </w:tc>
        <w:tc>
          <w:tcPr>
            <w:tcW w:w="3616" w:type="dxa"/>
            <w:tcBorders>
              <w:top w:val="single" w:sz="6" w:space="0" w:color="000000"/>
              <w:left w:val="single" w:sz="6" w:space="0" w:color="000000"/>
              <w:bottom w:val="single" w:sz="6" w:space="0" w:color="000000"/>
              <w:right w:val="single" w:sz="6" w:space="0" w:color="000000"/>
            </w:tcBorders>
            <w:hideMark/>
          </w:tcPr>
          <w:p w14:paraId="49FD185B"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с большим опытом работы над проектами.</w:t>
            </w:r>
          </w:p>
        </w:tc>
        <w:tc>
          <w:tcPr>
            <w:tcW w:w="2676" w:type="dxa"/>
            <w:tcBorders>
              <w:top w:val="single" w:sz="6" w:space="0" w:color="000000"/>
              <w:left w:val="single" w:sz="6" w:space="0" w:color="000000"/>
              <w:bottom w:val="single" w:sz="6" w:space="0" w:color="000000"/>
              <w:right w:val="single" w:sz="6" w:space="0" w:color="000000"/>
            </w:tcBorders>
            <w:hideMark/>
          </w:tcPr>
          <w:p w14:paraId="0D9C3F51"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Используется прошлый опыт</w:t>
            </w:r>
          </w:p>
        </w:tc>
        <w:tc>
          <w:tcPr>
            <w:tcW w:w="2137" w:type="dxa"/>
            <w:tcBorders>
              <w:top w:val="single" w:sz="6" w:space="0" w:color="000000"/>
              <w:left w:val="single" w:sz="6" w:space="0" w:color="000000"/>
              <w:bottom w:val="single" w:sz="6" w:space="0" w:color="000000"/>
              <w:right w:val="single" w:sz="6" w:space="0" w:color="000000"/>
            </w:tcBorders>
            <w:hideMark/>
          </w:tcPr>
          <w:p w14:paraId="3E35BB40"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Эксперт может быть предвзятым. Требует много времени</w:t>
            </w:r>
          </w:p>
        </w:tc>
      </w:tr>
      <w:tr w:rsidR="00A76CB1" w:rsidRPr="00A76CB1" w14:paraId="3386D611" w14:textId="77777777" w:rsidTr="00A76CB1">
        <w:tc>
          <w:tcPr>
            <w:tcW w:w="1951" w:type="dxa"/>
            <w:tcBorders>
              <w:top w:val="single" w:sz="6" w:space="0" w:color="000000"/>
              <w:left w:val="single" w:sz="6" w:space="0" w:color="000000"/>
              <w:bottom w:val="single" w:sz="6" w:space="0" w:color="000000"/>
              <w:right w:val="single" w:sz="6" w:space="0" w:color="000000"/>
            </w:tcBorders>
            <w:hideMark/>
          </w:tcPr>
          <w:p w14:paraId="4F8F8047"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Контрольные списки</w:t>
            </w:r>
          </w:p>
        </w:tc>
        <w:tc>
          <w:tcPr>
            <w:tcW w:w="3616" w:type="dxa"/>
            <w:tcBorders>
              <w:top w:val="single" w:sz="6" w:space="0" w:color="000000"/>
              <w:left w:val="single" w:sz="6" w:space="0" w:color="000000"/>
              <w:bottom w:val="single" w:sz="6" w:space="0" w:color="000000"/>
              <w:right w:val="single" w:sz="6" w:space="0" w:color="000000"/>
            </w:tcBorders>
            <w:hideMark/>
          </w:tcPr>
          <w:p w14:paraId="4F38F8C3"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Контрольные списки представляют собой перечни рисков, составленные на основе информации и знаний, которые были накоплены в ходе исполнения прежних аналогичных проектов.</w:t>
            </w:r>
          </w:p>
        </w:tc>
        <w:tc>
          <w:tcPr>
            <w:tcW w:w="2676" w:type="dxa"/>
            <w:tcBorders>
              <w:top w:val="single" w:sz="6" w:space="0" w:color="000000"/>
              <w:left w:val="single" w:sz="6" w:space="0" w:color="000000"/>
              <w:bottom w:val="single" w:sz="6" w:space="0" w:color="000000"/>
              <w:right w:val="single" w:sz="6" w:space="0" w:color="000000"/>
            </w:tcBorders>
            <w:hideMark/>
          </w:tcPr>
          <w:p w14:paraId="57AC29EE"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Конкретный и упорядоченный. Легко использовать</w:t>
            </w:r>
          </w:p>
        </w:tc>
        <w:tc>
          <w:tcPr>
            <w:tcW w:w="2137" w:type="dxa"/>
            <w:tcBorders>
              <w:top w:val="single" w:sz="6" w:space="0" w:color="000000"/>
              <w:left w:val="single" w:sz="6" w:space="0" w:color="000000"/>
              <w:bottom w:val="single" w:sz="6" w:space="0" w:color="000000"/>
              <w:right w:val="single" w:sz="6" w:space="0" w:color="000000"/>
            </w:tcBorders>
            <w:hideMark/>
          </w:tcPr>
          <w:p w14:paraId="02D1682E"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Предвзятость.</w:t>
            </w:r>
          </w:p>
          <w:p w14:paraId="36966296"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Может не содержать конкретных</w:t>
            </w:r>
          </w:p>
          <w:p w14:paraId="4250DEF9"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элементов для данного проекта</w:t>
            </w:r>
          </w:p>
        </w:tc>
      </w:tr>
      <w:tr w:rsidR="00A76CB1" w:rsidRPr="00A76CB1" w14:paraId="388CBB29" w14:textId="77777777" w:rsidTr="00A76CB1">
        <w:tc>
          <w:tcPr>
            <w:tcW w:w="1951" w:type="dxa"/>
            <w:tcBorders>
              <w:top w:val="single" w:sz="6" w:space="0" w:color="000000"/>
              <w:left w:val="single" w:sz="6" w:space="0" w:color="000000"/>
              <w:bottom w:val="single" w:sz="6" w:space="0" w:color="000000"/>
              <w:right w:val="single" w:sz="6" w:space="0" w:color="000000"/>
            </w:tcBorders>
            <w:hideMark/>
          </w:tcPr>
          <w:p w14:paraId="56CF1B52"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Метод аналогии</w:t>
            </w:r>
          </w:p>
        </w:tc>
        <w:tc>
          <w:tcPr>
            <w:tcW w:w="3616" w:type="dxa"/>
            <w:tcBorders>
              <w:top w:val="single" w:sz="6" w:space="0" w:color="000000"/>
              <w:left w:val="single" w:sz="6" w:space="0" w:color="000000"/>
              <w:bottom w:val="single" w:sz="6" w:space="0" w:color="000000"/>
              <w:right w:val="single" w:sz="6" w:space="0" w:color="000000"/>
            </w:tcBorders>
            <w:hideMark/>
          </w:tcPr>
          <w:p w14:paraId="62580E20"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Для идентификации рисков этот метод использует накопленные знания и планы по управлению рисками других аналогичных проектов.</w:t>
            </w:r>
          </w:p>
        </w:tc>
        <w:tc>
          <w:tcPr>
            <w:tcW w:w="2676" w:type="dxa"/>
            <w:tcBorders>
              <w:top w:val="single" w:sz="6" w:space="0" w:color="000000"/>
              <w:left w:val="single" w:sz="6" w:space="0" w:color="000000"/>
              <w:bottom w:val="single" w:sz="6" w:space="0" w:color="000000"/>
              <w:right w:val="single" w:sz="6" w:space="0" w:color="000000"/>
            </w:tcBorders>
            <w:hideMark/>
          </w:tcPr>
          <w:p w14:paraId="6722CCB2"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Использует прошлый опыт для исключения проблем в будущем. Подобные проекты содержат много сходных черт</w:t>
            </w:r>
          </w:p>
        </w:tc>
        <w:tc>
          <w:tcPr>
            <w:tcW w:w="2137" w:type="dxa"/>
            <w:tcBorders>
              <w:top w:val="single" w:sz="6" w:space="0" w:color="000000"/>
              <w:left w:val="single" w:sz="6" w:space="0" w:color="000000"/>
              <w:bottom w:val="single" w:sz="6" w:space="0" w:color="000000"/>
              <w:right w:val="single" w:sz="6" w:space="0" w:color="000000"/>
            </w:tcBorders>
            <w:hideMark/>
          </w:tcPr>
          <w:p w14:paraId="3D13B828"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Требует много времени. Легко получить результаты, не подходящие для данного случая. Аналогия может быть некоррект</w:t>
            </w:r>
            <w:r w:rsidRPr="00A76CB1">
              <w:rPr>
                <w:color w:val="000000"/>
                <w:sz w:val="22"/>
                <w:szCs w:val="22"/>
              </w:rPr>
              <w:softHyphen/>
              <w:t>ной</w:t>
            </w:r>
          </w:p>
        </w:tc>
      </w:tr>
      <w:tr w:rsidR="00A76CB1" w:rsidRPr="00A76CB1" w14:paraId="399E1B0F" w14:textId="77777777" w:rsidTr="00A76CB1">
        <w:tc>
          <w:tcPr>
            <w:tcW w:w="1951" w:type="dxa"/>
            <w:tcBorders>
              <w:top w:val="single" w:sz="6" w:space="0" w:color="000000"/>
              <w:left w:val="single" w:sz="6" w:space="0" w:color="000000"/>
              <w:bottom w:val="single" w:sz="6" w:space="0" w:color="000000"/>
              <w:right w:val="single" w:sz="6" w:space="0" w:color="000000"/>
            </w:tcBorders>
            <w:hideMark/>
          </w:tcPr>
          <w:p w14:paraId="09F4EB90"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lastRenderedPageBreak/>
              <w:t>Методы с использованием диаграмм</w:t>
            </w:r>
          </w:p>
        </w:tc>
        <w:tc>
          <w:tcPr>
            <w:tcW w:w="3616" w:type="dxa"/>
            <w:tcBorders>
              <w:top w:val="single" w:sz="6" w:space="0" w:color="000000"/>
              <w:left w:val="single" w:sz="6" w:space="0" w:color="000000"/>
              <w:bottom w:val="single" w:sz="6" w:space="0" w:color="000000"/>
              <w:right w:val="single" w:sz="6" w:space="0" w:color="000000"/>
            </w:tcBorders>
            <w:hideMark/>
          </w:tcPr>
          <w:p w14:paraId="13FDBAB9"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К методам отображения рисков в виде диаграмм относятся</w:t>
            </w:r>
            <w:r w:rsidRPr="00A76CB1">
              <w:rPr>
                <w:b/>
                <w:bCs/>
                <w:color w:val="000000"/>
                <w:sz w:val="22"/>
                <w:szCs w:val="22"/>
              </w:rPr>
              <w:t> </w:t>
            </w:r>
            <w:r w:rsidRPr="00A76CB1">
              <w:rPr>
                <w:color w:val="000000"/>
                <w:sz w:val="22"/>
                <w:szCs w:val="22"/>
              </w:rPr>
              <w:t>диаграммы причинно-следственных связей и блок-схемы процессов, которые позволяют проследить последовательность событий, происходящих в данном процессе.</w:t>
            </w:r>
          </w:p>
        </w:tc>
        <w:tc>
          <w:tcPr>
            <w:tcW w:w="2676" w:type="dxa"/>
            <w:tcBorders>
              <w:top w:val="single" w:sz="6" w:space="0" w:color="000000"/>
              <w:left w:val="single" w:sz="6" w:space="0" w:color="000000"/>
              <w:bottom w:val="single" w:sz="6" w:space="0" w:color="000000"/>
              <w:right w:val="single" w:sz="6" w:space="0" w:color="000000"/>
            </w:tcBorders>
            <w:hideMark/>
          </w:tcPr>
          <w:p w14:paraId="07F102A8"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Ясное представление участвующих процессов.</w:t>
            </w:r>
          </w:p>
          <w:p w14:paraId="43FFAA64"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Легкость построения.</w:t>
            </w:r>
          </w:p>
          <w:p w14:paraId="4238A37B"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Для них имеется много компьютерных</w:t>
            </w:r>
          </w:p>
          <w:p w14:paraId="11E487C5"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инструментов</w:t>
            </w:r>
          </w:p>
        </w:tc>
        <w:tc>
          <w:tcPr>
            <w:tcW w:w="2137" w:type="dxa"/>
            <w:tcBorders>
              <w:top w:val="single" w:sz="6" w:space="0" w:color="000000"/>
              <w:left w:val="single" w:sz="6" w:space="0" w:color="000000"/>
              <w:bottom w:val="single" w:sz="6" w:space="0" w:color="000000"/>
              <w:right w:val="single" w:sz="6" w:space="0" w:color="000000"/>
            </w:tcBorders>
            <w:hideMark/>
          </w:tcPr>
          <w:p w14:paraId="07393B21"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Иногда вводит в заблуждение. Может занимать много времени</w:t>
            </w:r>
          </w:p>
        </w:tc>
      </w:tr>
      <w:tr w:rsidR="00A76CB1" w:rsidRPr="00A76CB1" w14:paraId="507D1727" w14:textId="77777777" w:rsidTr="00A76CB1">
        <w:tc>
          <w:tcPr>
            <w:tcW w:w="1951" w:type="dxa"/>
            <w:tcBorders>
              <w:top w:val="single" w:sz="6" w:space="0" w:color="000000"/>
              <w:left w:val="single" w:sz="6" w:space="0" w:color="000000"/>
              <w:bottom w:val="single" w:sz="6" w:space="0" w:color="000000"/>
              <w:right w:val="single" w:sz="6" w:space="0" w:color="000000"/>
            </w:tcBorders>
            <w:hideMark/>
          </w:tcPr>
          <w:p w14:paraId="0180DF87" w14:textId="77777777" w:rsidR="00A76CB1" w:rsidRPr="00A76CB1" w:rsidRDefault="00A76CB1">
            <w:pPr>
              <w:pStyle w:val="a6"/>
              <w:spacing w:before="0" w:beforeAutospacing="0" w:after="0" w:afterAutospacing="0"/>
              <w:rPr>
                <w:color w:val="000000"/>
                <w:sz w:val="22"/>
                <w:szCs w:val="22"/>
              </w:rPr>
            </w:pPr>
            <w:r w:rsidRPr="00A76CB1">
              <w:rPr>
                <w:b/>
                <w:bCs/>
                <w:color w:val="000000"/>
                <w:sz w:val="22"/>
                <w:szCs w:val="22"/>
              </w:rPr>
              <w:t>Анализ сильных и слабых сторон, возможностей и угроз</w:t>
            </w:r>
            <w:r w:rsidRPr="00A76CB1">
              <w:rPr>
                <w:color w:val="000000"/>
                <w:sz w:val="22"/>
                <w:szCs w:val="22"/>
              </w:rPr>
              <w:t>(анализ SWOT).</w:t>
            </w:r>
          </w:p>
        </w:tc>
        <w:tc>
          <w:tcPr>
            <w:tcW w:w="3616" w:type="dxa"/>
            <w:tcBorders>
              <w:top w:val="single" w:sz="6" w:space="0" w:color="000000"/>
              <w:left w:val="single" w:sz="6" w:space="0" w:color="000000"/>
              <w:bottom w:val="single" w:sz="6" w:space="0" w:color="000000"/>
              <w:right w:val="single" w:sz="6" w:space="0" w:color="000000"/>
            </w:tcBorders>
            <w:hideMark/>
          </w:tcPr>
          <w:p w14:paraId="480BDFB0" w14:textId="77777777" w:rsidR="00A76CB1" w:rsidRPr="00A76CB1" w:rsidRDefault="00A76CB1">
            <w:pPr>
              <w:pStyle w:val="a6"/>
              <w:spacing w:before="0" w:beforeAutospacing="0" w:after="0" w:afterAutospacing="0"/>
              <w:rPr>
                <w:color w:val="000000"/>
                <w:sz w:val="22"/>
                <w:szCs w:val="22"/>
              </w:rPr>
            </w:pPr>
            <w:r w:rsidRPr="00A76CB1">
              <w:rPr>
                <w:color w:val="000000"/>
                <w:sz w:val="22"/>
                <w:szCs w:val="22"/>
              </w:rPr>
              <w:t>Цель проведения анализа – оценить потенциал и окружение проекта. Потенциал проекта, выраженный в виде его сильных и слабых сторон, позволяет оценить разрыв между содержанием проекта и возможностями его выполнения. Оценка окружения проекта показывает, какие благоприятные возможности предоставляет и какими опасностями угрожает внешняя среда.</w:t>
            </w:r>
          </w:p>
        </w:tc>
        <w:tc>
          <w:tcPr>
            <w:tcW w:w="0" w:type="auto"/>
            <w:vAlign w:val="center"/>
            <w:hideMark/>
          </w:tcPr>
          <w:p w14:paraId="0A912BC6" w14:textId="77777777" w:rsidR="00A76CB1" w:rsidRPr="00A76CB1" w:rsidRDefault="00A76CB1">
            <w:pPr>
              <w:rPr>
                <w:sz w:val="22"/>
                <w:szCs w:val="22"/>
              </w:rPr>
            </w:pPr>
          </w:p>
        </w:tc>
        <w:tc>
          <w:tcPr>
            <w:tcW w:w="0" w:type="auto"/>
            <w:vAlign w:val="center"/>
            <w:hideMark/>
          </w:tcPr>
          <w:p w14:paraId="7E48F8C8" w14:textId="77777777" w:rsidR="00A76CB1" w:rsidRPr="00A76CB1" w:rsidRDefault="00A76CB1">
            <w:pPr>
              <w:rPr>
                <w:sz w:val="22"/>
                <w:szCs w:val="22"/>
              </w:rPr>
            </w:pPr>
          </w:p>
        </w:tc>
      </w:tr>
    </w:tbl>
    <w:p w14:paraId="69EE0ECE" w14:textId="77777777" w:rsidR="004A37F0" w:rsidRPr="004A37F0" w:rsidRDefault="004A37F0" w:rsidP="00A76CB1">
      <w:pPr>
        <w:jc w:val="both"/>
      </w:pPr>
    </w:p>
    <w:sectPr w:rsidR="004A37F0" w:rsidRPr="004A37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12D93"/>
    <w:multiLevelType w:val="multilevel"/>
    <w:tmpl w:val="6B9C9FCE"/>
    <w:lvl w:ilvl="0">
      <w:start w:val="1"/>
      <w:numFmt w:val="decimal"/>
      <w:pStyle w:val="1"/>
      <w:suff w:val="space"/>
      <w:lvlText w:val="%1."/>
      <w:lvlJc w:val="left"/>
      <w:pPr>
        <w:ind w:left="0" w:firstLine="709"/>
      </w:pPr>
      <w:rPr>
        <w:rFonts w:hint="default"/>
      </w:rPr>
    </w:lvl>
    <w:lvl w:ilvl="1">
      <w:start w:val="1"/>
      <w:numFmt w:val="decimal"/>
      <w:pStyle w:val="2"/>
      <w:isLgl/>
      <w:lvlText w:val="%1.%2"/>
      <w:lvlJc w:val="left"/>
      <w:pPr>
        <w:ind w:left="567" w:hanging="567"/>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AEB05D6"/>
    <w:multiLevelType w:val="hybridMultilevel"/>
    <w:tmpl w:val="3DD69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09C18F4"/>
    <w:multiLevelType w:val="hybridMultilevel"/>
    <w:tmpl w:val="FE6040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583"/>
    <w:rsid w:val="00010EF3"/>
    <w:rsid w:val="000A2C33"/>
    <w:rsid w:val="000E1B4A"/>
    <w:rsid w:val="000E5703"/>
    <w:rsid w:val="00174641"/>
    <w:rsid w:val="001E51ED"/>
    <w:rsid w:val="00214168"/>
    <w:rsid w:val="002660BE"/>
    <w:rsid w:val="00276A62"/>
    <w:rsid w:val="00295AF0"/>
    <w:rsid w:val="002A02EB"/>
    <w:rsid w:val="003811CE"/>
    <w:rsid w:val="003C2583"/>
    <w:rsid w:val="004A37F0"/>
    <w:rsid w:val="005B1D62"/>
    <w:rsid w:val="005E3EC6"/>
    <w:rsid w:val="005F646C"/>
    <w:rsid w:val="00636362"/>
    <w:rsid w:val="00716698"/>
    <w:rsid w:val="00725EF5"/>
    <w:rsid w:val="007722DF"/>
    <w:rsid w:val="007C1073"/>
    <w:rsid w:val="007D7EB7"/>
    <w:rsid w:val="008700D9"/>
    <w:rsid w:val="00895748"/>
    <w:rsid w:val="00991B10"/>
    <w:rsid w:val="00A76CB1"/>
    <w:rsid w:val="00A941FF"/>
    <w:rsid w:val="00B15707"/>
    <w:rsid w:val="00B30A78"/>
    <w:rsid w:val="00C41A99"/>
    <w:rsid w:val="00CC3007"/>
    <w:rsid w:val="00CD3E87"/>
    <w:rsid w:val="00CE54EE"/>
    <w:rsid w:val="00D046C1"/>
    <w:rsid w:val="00D47A18"/>
    <w:rsid w:val="00D619E7"/>
    <w:rsid w:val="00DF12DC"/>
    <w:rsid w:val="00E120B9"/>
    <w:rsid w:val="00F50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96D2B"/>
  <w15:chartTrackingRefBased/>
  <w15:docId w15:val="{91E4395E-CCBB-48B1-ACAA-7B4E8F20C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A18"/>
    <w:pPr>
      <w:spacing w:after="0" w:line="360" w:lineRule="auto"/>
      <w:ind w:firstLine="709"/>
    </w:pPr>
    <w:rPr>
      <w:rFonts w:ascii="Times New Roman" w:hAnsi="Times New Roman" w:cs="Times New Roman"/>
      <w:sz w:val="28"/>
      <w:szCs w:val="28"/>
    </w:rPr>
  </w:style>
  <w:style w:type="paragraph" w:styleId="1">
    <w:name w:val="heading 1"/>
    <w:basedOn w:val="31"/>
    <w:next w:val="a"/>
    <w:link w:val="10"/>
    <w:uiPriority w:val="9"/>
    <w:qFormat/>
    <w:rsid w:val="00C41A99"/>
    <w:pPr>
      <w:numPr>
        <w:numId w:val="1"/>
      </w:numPr>
      <w:spacing w:line="360" w:lineRule="auto"/>
      <w:jc w:val="center"/>
      <w:outlineLvl w:val="0"/>
    </w:pPr>
    <w:rPr>
      <w:sz w:val="28"/>
      <w:szCs w:val="28"/>
    </w:rPr>
  </w:style>
  <w:style w:type="paragraph" w:styleId="2">
    <w:name w:val="heading 2"/>
    <w:basedOn w:val="a0"/>
    <w:next w:val="a"/>
    <w:link w:val="20"/>
    <w:uiPriority w:val="9"/>
    <w:unhideWhenUsed/>
    <w:qFormat/>
    <w:rsid w:val="00C41A99"/>
    <w:pPr>
      <w:numPr>
        <w:ilvl w:val="1"/>
        <w:numId w:val="1"/>
      </w:numPr>
      <w:jc w:val="center"/>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rsid w:val="00D47A18"/>
    <w:pPr>
      <w:ind w:left="720"/>
      <w:contextualSpacing/>
    </w:pPr>
  </w:style>
  <w:style w:type="paragraph" w:customStyle="1" w:styleId="31">
    <w:name w:val="Заголовок 31"/>
    <w:basedOn w:val="a"/>
    <w:uiPriority w:val="1"/>
    <w:qFormat/>
    <w:rsid w:val="00D47A18"/>
    <w:pPr>
      <w:widowControl w:val="0"/>
      <w:autoSpaceDE w:val="0"/>
      <w:autoSpaceDN w:val="0"/>
      <w:spacing w:before="159" w:line="240" w:lineRule="auto"/>
      <w:ind w:firstLine="0"/>
      <w:outlineLvl w:val="3"/>
    </w:pPr>
    <w:rPr>
      <w:rFonts w:eastAsia="Times New Roman"/>
      <w:b/>
      <w:bCs/>
      <w:sz w:val="24"/>
      <w:szCs w:val="24"/>
    </w:rPr>
  </w:style>
  <w:style w:type="character" w:customStyle="1" w:styleId="10">
    <w:name w:val="Заголовок 1 Знак"/>
    <w:basedOn w:val="a1"/>
    <w:link w:val="1"/>
    <w:uiPriority w:val="9"/>
    <w:rsid w:val="00C41A99"/>
    <w:rPr>
      <w:rFonts w:ascii="Times New Roman" w:eastAsia="Times New Roman" w:hAnsi="Times New Roman" w:cs="Times New Roman"/>
      <w:b/>
      <w:bCs/>
      <w:sz w:val="28"/>
      <w:szCs w:val="28"/>
    </w:rPr>
  </w:style>
  <w:style w:type="paragraph" w:styleId="a4">
    <w:name w:val="Body Text"/>
    <w:basedOn w:val="a"/>
    <w:link w:val="a5"/>
    <w:uiPriority w:val="1"/>
    <w:unhideWhenUsed/>
    <w:qFormat/>
    <w:rsid w:val="00D47A18"/>
    <w:pPr>
      <w:widowControl w:val="0"/>
      <w:autoSpaceDE w:val="0"/>
      <w:autoSpaceDN w:val="0"/>
      <w:spacing w:line="240" w:lineRule="auto"/>
      <w:ind w:firstLine="0"/>
    </w:pPr>
    <w:rPr>
      <w:rFonts w:eastAsia="Times New Roman"/>
      <w:sz w:val="24"/>
      <w:szCs w:val="24"/>
    </w:rPr>
  </w:style>
  <w:style w:type="character" w:customStyle="1" w:styleId="a5">
    <w:name w:val="Основной текст Знак"/>
    <w:basedOn w:val="a1"/>
    <w:link w:val="a4"/>
    <w:uiPriority w:val="1"/>
    <w:rsid w:val="00D47A18"/>
    <w:rPr>
      <w:rFonts w:ascii="Times New Roman" w:eastAsia="Times New Roman" w:hAnsi="Times New Roman" w:cs="Times New Roman"/>
      <w:sz w:val="24"/>
      <w:szCs w:val="24"/>
    </w:rPr>
  </w:style>
  <w:style w:type="paragraph" w:customStyle="1" w:styleId="TableParagraph">
    <w:name w:val="Table Paragraph"/>
    <w:basedOn w:val="a"/>
    <w:uiPriority w:val="1"/>
    <w:qFormat/>
    <w:rsid w:val="00174641"/>
    <w:pPr>
      <w:widowControl w:val="0"/>
      <w:autoSpaceDE w:val="0"/>
      <w:autoSpaceDN w:val="0"/>
      <w:spacing w:line="240" w:lineRule="auto"/>
      <w:ind w:firstLine="0"/>
    </w:pPr>
    <w:rPr>
      <w:rFonts w:eastAsia="Times New Roman"/>
      <w:sz w:val="22"/>
      <w:szCs w:val="22"/>
    </w:rPr>
  </w:style>
  <w:style w:type="table" w:customStyle="1" w:styleId="TableNormal">
    <w:name w:val="Table Normal"/>
    <w:uiPriority w:val="2"/>
    <w:semiHidden/>
    <w:qFormat/>
    <w:rsid w:val="00174641"/>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20">
    <w:name w:val="Заголовок 2 Знак"/>
    <w:basedOn w:val="a1"/>
    <w:link w:val="2"/>
    <w:uiPriority w:val="9"/>
    <w:rsid w:val="00C41A99"/>
    <w:rPr>
      <w:rFonts w:ascii="Times New Roman" w:hAnsi="Times New Roman" w:cs="Times New Roman"/>
      <w:b/>
      <w:sz w:val="28"/>
      <w:szCs w:val="28"/>
    </w:rPr>
  </w:style>
  <w:style w:type="paragraph" w:styleId="a6">
    <w:name w:val="Normal (Web)"/>
    <w:basedOn w:val="a"/>
    <w:uiPriority w:val="99"/>
    <w:semiHidden/>
    <w:unhideWhenUsed/>
    <w:rsid w:val="00A76CB1"/>
    <w:pPr>
      <w:spacing w:before="100" w:beforeAutospacing="1" w:after="100" w:afterAutospacing="1" w:line="240" w:lineRule="auto"/>
      <w:ind w:firstLine="0"/>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40231">
      <w:bodyDiv w:val="1"/>
      <w:marLeft w:val="0"/>
      <w:marRight w:val="0"/>
      <w:marTop w:val="0"/>
      <w:marBottom w:val="0"/>
      <w:divBdr>
        <w:top w:val="none" w:sz="0" w:space="0" w:color="auto"/>
        <w:left w:val="none" w:sz="0" w:space="0" w:color="auto"/>
        <w:bottom w:val="none" w:sz="0" w:space="0" w:color="auto"/>
        <w:right w:val="none" w:sz="0" w:space="0" w:color="auto"/>
      </w:divBdr>
    </w:div>
    <w:div w:id="270867543">
      <w:bodyDiv w:val="1"/>
      <w:marLeft w:val="0"/>
      <w:marRight w:val="0"/>
      <w:marTop w:val="0"/>
      <w:marBottom w:val="0"/>
      <w:divBdr>
        <w:top w:val="none" w:sz="0" w:space="0" w:color="auto"/>
        <w:left w:val="none" w:sz="0" w:space="0" w:color="auto"/>
        <w:bottom w:val="none" w:sz="0" w:space="0" w:color="auto"/>
        <w:right w:val="none" w:sz="0" w:space="0" w:color="auto"/>
      </w:divBdr>
    </w:div>
    <w:div w:id="354045315">
      <w:bodyDiv w:val="1"/>
      <w:marLeft w:val="0"/>
      <w:marRight w:val="0"/>
      <w:marTop w:val="0"/>
      <w:marBottom w:val="0"/>
      <w:divBdr>
        <w:top w:val="none" w:sz="0" w:space="0" w:color="auto"/>
        <w:left w:val="none" w:sz="0" w:space="0" w:color="auto"/>
        <w:bottom w:val="none" w:sz="0" w:space="0" w:color="auto"/>
        <w:right w:val="none" w:sz="0" w:space="0" w:color="auto"/>
      </w:divBdr>
    </w:div>
    <w:div w:id="403375803">
      <w:bodyDiv w:val="1"/>
      <w:marLeft w:val="0"/>
      <w:marRight w:val="0"/>
      <w:marTop w:val="0"/>
      <w:marBottom w:val="0"/>
      <w:divBdr>
        <w:top w:val="none" w:sz="0" w:space="0" w:color="auto"/>
        <w:left w:val="none" w:sz="0" w:space="0" w:color="auto"/>
        <w:bottom w:val="none" w:sz="0" w:space="0" w:color="auto"/>
        <w:right w:val="none" w:sz="0" w:space="0" w:color="auto"/>
      </w:divBdr>
    </w:div>
    <w:div w:id="486020992">
      <w:bodyDiv w:val="1"/>
      <w:marLeft w:val="0"/>
      <w:marRight w:val="0"/>
      <w:marTop w:val="0"/>
      <w:marBottom w:val="0"/>
      <w:divBdr>
        <w:top w:val="none" w:sz="0" w:space="0" w:color="auto"/>
        <w:left w:val="none" w:sz="0" w:space="0" w:color="auto"/>
        <w:bottom w:val="none" w:sz="0" w:space="0" w:color="auto"/>
        <w:right w:val="none" w:sz="0" w:space="0" w:color="auto"/>
      </w:divBdr>
    </w:div>
    <w:div w:id="688221505">
      <w:bodyDiv w:val="1"/>
      <w:marLeft w:val="0"/>
      <w:marRight w:val="0"/>
      <w:marTop w:val="0"/>
      <w:marBottom w:val="0"/>
      <w:divBdr>
        <w:top w:val="none" w:sz="0" w:space="0" w:color="auto"/>
        <w:left w:val="none" w:sz="0" w:space="0" w:color="auto"/>
        <w:bottom w:val="none" w:sz="0" w:space="0" w:color="auto"/>
        <w:right w:val="none" w:sz="0" w:space="0" w:color="auto"/>
      </w:divBdr>
    </w:div>
    <w:div w:id="750157226">
      <w:bodyDiv w:val="1"/>
      <w:marLeft w:val="0"/>
      <w:marRight w:val="0"/>
      <w:marTop w:val="0"/>
      <w:marBottom w:val="0"/>
      <w:divBdr>
        <w:top w:val="none" w:sz="0" w:space="0" w:color="auto"/>
        <w:left w:val="none" w:sz="0" w:space="0" w:color="auto"/>
        <w:bottom w:val="none" w:sz="0" w:space="0" w:color="auto"/>
        <w:right w:val="none" w:sz="0" w:space="0" w:color="auto"/>
      </w:divBdr>
    </w:div>
    <w:div w:id="1021979274">
      <w:bodyDiv w:val="1"/>
      <w:marLeft w:val="0"/>
      <w:marRight w:val="0"/>
      <w:marTop w:val="0"/>
      <w:marBottom w:val="0"/>
      <w:divBdr>
        <w:top w:val="none" w:sz="0" w:space="0" w:color="auto"/>
        <w:left w:val="none" w:sz="0" w:space="0" w:color="auto"/>
        <w:bottom w:val="none" w:sz="0" w:space="0" w:color="auto"/>
        <w:right w:val="none" w:sz="0" w:space="0" w:color="auto"/>
      </w:divBdr>
    </w:div>
    <w:div w:id="1069503284">
      <w:bodyDiv w:val="1"/>
      <w:marLeft w:val="0"/>
      <w:marRight w:val="0"/>
      <w:marTop w:val="0"/>
      <w:marBottom w:val="0"/>
      <w:divBdr>
        <w:top w:val="none" w:sz="0" w:space="0" w:color="auto"/>
        <w:left w:val="none" w:sz="0" w:space="0" w:color="auto"/>
        <w:bottom w:val="none" w:sz="0" w:space="0" w:color="auto"/>
        <w:right w:val="none" w:sz="0" w:space="0" w:color="auto"/>
      </w:divBdr>
    </w:div>
    <w:div w:id="140675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568</TotalTime>
  <Pages>15</Pages>
  <Words>2972</Words>
  <Characters>16943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Stiv 208</dc:creator>
  <cp:keywords/>
  <dc:description/>
  <cp:lastModifiedBy>Stiv 208</cp:lastModifiedBy>
  <cp:revision>17</cp:revision>
  <dcterms:created xsi:type="dcterms:W3CDTF">2023-02-15T06:36:00Z</dcterms:created>
  <dcterms:modified xsi:type="dcterms:W3CDTF">2023-03-27T05:43:00Z</dcterms:modified>
</cp:coreProperties>
</file>