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/>
    </w:p>
    <w:p>
      <w:pPr>
        <w:pStyle w:val="81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Создание и настройка роли DHCP на основном контроллере домена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»</w:t>
      </w:r>
      <w:r/>
    </w:p>
    <w:p>
      <w:pPr>
        <w:pStyle w:val="891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аучиться добавлять и настраивать роль DHCP на сервере.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z w:val="28"/>
          <w:szCs w:val="28"/>
        </w:rPr>
      </w:r>
      <w:r/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b w:val="0"/>
          <w:bCs w:val="0"/>
          <w:i w:val="0"/>
          <w:iCs w:val="0"/>
          <w:sz w:val="28"/>
          <w:szCs w:val="24"/>
        </w:rPr>
        <w:t xml:space="preserve">Создайте и настройте роли DHCP на основном контроллере домена.</w:t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</w:rPr>
        <w:t xml:space="preserve">    </w:t>
      </w:r>
      <w:r>
        <w:rPr>
          <w:color w:val="000000" w:themeColor="text1"/>
          <w:sz w:val="28"/>
          <w:szCs w:val="28"/>
        </w:rPr>
        <w:t xml:space="preserve">В диспетчере серверов выбрать пункт «Добавить роли и компоненты». </w:t>
      </w:r>
      <w:r>
        <w:rPr>
          <w:b w:val="0"/>
          <w:bCs w:val="0"/>
          <w:i w:val="0"/>
          <w:iCs w:val="0"/>
          <w:sz w:val="28"/>
          <w:szCs w:val="24"/>
        </w:rPr>
        <w:t xml:space="preserve"> </w:t>
      </w:r>
      <w:r>
        <w:rPr>
          <w:b w:val="0"/>
          <w:bCs w:val="0"/>
          <w:i w:val="0"/>
          <w:iCs w:val="0"/>
          <w:sz w:val="28"/>
          <w:szCs w:val="24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В открывшемся окне мастера нажать далее.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Выбрать пункт: «Установка ролей и компонентов».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Выбрать сервер из списка.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Выбрать роль «DHCP-сервер».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В появившемся окне предлагают установить необходимые для продолжения компоненты. Нажать «Добавить компоненты».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    В окне выбора компонентов нажать «Далее», поскольку необходимые компоненты были выбраны в предыдущем пункте.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    В следующем окне приведена краткая информация о роли DHCP — сервера. Ознакомиться с ней и нажать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</w:t>
      </w:r>
      <w:r>
        <w:rPr>
          <w:color w:val="000000" w:themeColor="text1"/>
          <w:sz w:val="28"/>
          <w:szCs w:val="28"/>
        </w:rPr>
        <w:t xml:space="preserve">Ознакомиться со списком устанавливаемых  компонентов и нажать «Установить».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Выбрать пункт «Завершение настройки DHCP», для того чтобы настроить сервер DHCP.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Появляется уведомление о том, что далее будут созданы две локальные группы безопасности для управления доступом к серверу DHCP, а затем будет произведена авторизация сервера DHCP в </w:t>
      </w:r>
      <w:r>
        <w:rPr>
          <w:color w:val="000000" w:themeColor="text1"/>
          <w:sz w:val="28"/>
          <w:szCs w:val="28"/>
        </w:rPr>
        <w:t xml:space="preserve">Active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Directory</w:t>
      </w:r>
      <w:r>
        <w:rPr>
          <w:color w:val="000000" w:themeColor="text1"/>
          <w:sz w:val="28"/>
          <w:szCs w:val="28"/>
        </w:rPr>
        <w:t xml:space="preserve">. Нажать кнопку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 В разделе «Авторизация», в пункте «Использовать учетные данные следующего пользователя» указываем учетную запись с правами администратора домена. Нажать на кнопку «Фиксировать».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Теперь DHCP-сервер </w:t>
      </w:r>
      <w:r>
        <w:rPr>
          <w:color w:val="000000" w:themeColor="text1"/>
          <w:sz w:val="28"/>
          <w:szCs w:val="28"/>
        </w:rPr>
        <w:t xml:space="preserve">авторизован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Active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Directory</w:t>
      </w:r>
      <w:r>
        <w:rPr>
          <w:color w:val="000000" w:themeColor="text1"/>
          <w:sz w:val="28"/>
          <w:szCs w:val="28"/>
        </w:rPr>
        <w:t xml:space="preserve">, а также созданы необходимые группы безопасности для управления доступом к DHCP. Нажать на кнопку «Закрыть».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мастере настройке ролей, также нажать «Закрыть».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диспетчере серверов, в пункте «Средства», выбрать DHCP.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открывшемся окне настройки, выбрать созданный сервер и на вкладке IPv4, щелчком правой кнопки мыши открыть контекстное меню, в котором выбрать пункт «Создать область».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Открывается «Мастер создания областей». В поле «Имя», указать имя для нового диапазона адресов.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Указать маску подсети и диапазон адресов, из которого сервер DHCP будет раздавать IP-адреса для устройств в локальной сети. Нажать на кнопку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Следует указать диапазон, для которого сервер DHCP не будет раздавать настройки.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Указать часть диапазона, которую нужно исключить, и нажать на кнопку «Добавить».</w:t>
      </w:r>
      <w:r>
        <w:rPr>
          <w:color w:val="000000"/>
          <w:sz w:val="28"/>
          <w:szCs w:val="28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Далее можно выбрать на какое время IP-адреса будут выдаваться устройствам в аренду. Можно оставить настройки без изменений и нажать на кнопку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Необходимо указать сетевые настройки (шлюз, DNS), которые сервер DHCP будет раздавать для устройств в локальной сети. Выбрать пункт «Да, настроить эти параметры сейчас».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поле «IP-адрес» указать IP-адрес вашего шлюз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и нажать на кнопку «Добавить». Затем нажать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поле «Родительский домен» указать имя домена, созданного в предыдущей лабораторной работе. В поле «IP-адрес» указать IP-адрес сервера DNS</w:t>
      </w:r>
      <w:r>
        <w:rPr>
          <w:color w:val="000000" w:themeColor="text1"/>
          <w:sz w:val="28"/>
          <w:szCs w:val="28"/>
        </w:rPr>
        <w:t xml:space="preserve">. Нажать на кнопку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WINS-сервер в данном случае использоваться не будет, поэтому нажать —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Активировать созданную область, выбрав пункт «Да, я хочу активировать эту область сейчас» и нажать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7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Настройка сервера DHCP завершена. Теперь все устройства, подключаемые к локальной сети, будут получать сетевые настройки (IP-адрес, маска подсети, шлюз, DNS) и смогут взаимодействовать друг с другом. Нажать на кнопку «Готово».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ind w:left="0" w:right="0"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Проделав вышеописанные манипуляции были добавлены и установлены  компоненты, необходимые для DHCP-сервера (рис. 1, 2).</w:t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95912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54905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2995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8pt;height:235.9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 – Добавление компонентов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799109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03386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3799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299.1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2 – Подтверждение установки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Далее, завершая установку сервера, были выбраны данные для управления DHCP-сервером (рис. 3), создана новая область ip-адресов, которые будут раздаваться локальным устройствам и выбран диапазон этих адресов (рис. 4, 5), также выбран диапазон игнорируемых адресов (рис. 6). </w:t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846453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78339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2846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224.1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3 – Завершение настройки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318012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58698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2318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7.8pt;height:182.5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4 – Создание области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112498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37880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3112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67.8pt;height:245.1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5 – Создание диапазона ip-адресов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520415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28789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252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7.8pt;height:198.5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6 – Создание диапазона исключения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  <w:t xml:space="preserve">Добавлен основной шлюз (рис. 7), выбран родительский домен (рис. 8), после чего настройка </w:t>
      </w:r>
      <w:r>
        <w:rPr>
          <w:b w:val="0"/>
          <w:bCs w:val="0"/>
          <w:i w:val="0"/>
          <w:iCs w:val="0"/>
          <w:sz w:val="28"/>
          <w:szCs w:val="24"/>
        </w:rPr>
        <w:t xml:space="preserve">роли DHCP на основном контроллере домена завершена (рис. 8).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4581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99772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213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67.8pt;height:168.1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7 – Добавление основного шлюза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00600" cy="2257425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29207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800600" cy="225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378.0pt;height:177.8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8 – DNS-серверы</w: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38650" cy="3333750"/>
                <wp:effectExtent l="0" t="0" r="0" b="0"/>
                <wp:docPr id="9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44106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438649" cy="3333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349.5pt;height:262.5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9 – Завершение работы мастера</w:t>
      </w:r>
      <w:r>
        <w:rPr>
          <w:b w:val="0"/>
          <w:i w:val="0"/>
          <w:sz w:val="28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character" w:styleId="815">
    <w:name w:val="footnote reference"/>
    <w:basedOn w:val="850"/>
    <w:uiPriority w:val="99"/>
    <w:unhideWhenUsed/>
    <w:rPr>
      <w:vertAlign w:val="superscript"/>
    </w:rPr>
  </w:style>
  <w:style w:type="character" w:styleId="816">
    <w:name w:val="endnote reference"/>
    <w:basedOn w:val="850"/>
    <w:uiPriority w:val="99"/>
    <w:semiHidden/>
    <w:unhideWhenUsed/>
    <w:rPr>
      <w:vertAlign w:val="superscript"/>
    </w:rPr>
  </w:style>
  <w:style w:type="paragraph" w:styleId="8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18">
    <w:name w:val="Heading 1"/>
    <w:basedOn w:val="817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819">
    <w:name w:val="Heading 2"/>
    <w:basedOn w:val="817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20">
    <w:name w:val="Heading 3"/>
    <w:basedOn w:val="817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21">
    <w:name w:val="Heading 4"/>
    <w:basedOn w:val="817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22">
    <w:name w:val="Heading 5"/>
    <w:basedOn w:val="817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23">
    <w:name w:val="Heading 6"/>
    <w:basedOn w:val="817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24">
    <w:name w:val="Heading 7"/>
    <w:basedOn w:val="817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25">
    <w:name w:val="Heading 8"/>
    <w:basedOn w:val="817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26">
    <w:name w:val="Heading 9"/>
    <w:basedOn w:val="817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27">
    <w:name w:val="Интернет-ссылка"/>
    <w:rPr>
      <w:color w:val="0000FF"/>
      <w:u w:val="single"/>
    </w:rPr>
  </w:style>
  <w:style w:type="character" w:styleId="828">
    <w:name w:val="Привязка сноски"/>
    <w:rPr>
      <w:vertAlign w:val="superscript"/>
    </w:rPr>
  </w:style>
  <w:style w:type="character" w:styleId="829">
    <w:name w:val="Footnote Characters"/>
    <w:basedOn w:val="850"/>
    <w:qFormat/>
    <w:rPr>
      <w:vertAlign w:val="superscript"/>
    </w:rPr>
  </w:style>
  <w:style w:type="character" w:styleId="830">
    <w:name w:val="Привязка концевой сноски"/>
    <w:rPr>
      <w:vertAlign w:val="superscript"/>
    </w:rPr>
  </w:style>
  <w:style w:type="character" w:styleId="831">
    <w:name w:val="Endnote Characters"/>
    <w:basedOn w:val="850"/>
    <w:qFormat/>
    <w:rPr>
      <w:vertAlign w:val="superscript"/>
    </w:rPr>
  </w:style>
  <w:style w:type="character" w:styleId="832">
    <w:name w:val="Heading 1 Char"/>
    <w:basedOn w:val="850"/>
    <w:qFormat/>
    <w:rPr>
      <w:rFonts w:ascii="Arial" w:hAnsi="Arial" w:cs="Arial" w:eastAsia="Arial"/>
      <w:sz w:val="40"/>
      <w:szCs w:val="40"/>
    </w:rPr>
  </w:style>
  <w:style w:type="character" w:styleId="833">
    <w:name w:val="Heading 2 Char"/>
    <w:basedOn w:val="850"/>
    <w:qFormat/>
    <w:rPr>
      <w:rFonts w:ascii="Arial" w:hAnsi="Arial" w:cs="Arial" w:eastAsia="Arial"/>
      <w:sz w:val="34"/>
    </w:rPr>
  </w:style>
  <w:style w:type="character" w:styleId="834">
    <w:name w:val="Heading 3 Char"/>
    <w:basedOn w:val="850"/>
    <w:qFormat/>
    <w:rPr>
      <w:rFonts w:ascii="Arial" w:hAnsi="Arial" w:cs="Arial" w:eastAsia="Arial"/>
      <w:sz w:val="30"/>
      <w:szCs w:val="30"/>
    </w:rPr>
  </w:style>
  <w:style w:type="character" w:styleId="835">
    <w:name w:val="Heading 4 Char"/>
    <w:basedOn w:val="850"/>
    <w:qFormat/>
    <w:rPr>
      <w:rFonts w:ascii="Arial" w:hAnsi="Arial" w:cs="Arial" w:eastAsia="Arial"/>
      <w:b/>
      <w:bCs/>
      <w:sz w:val="26"/>
      <w:szCs w:val="26"/>
    </w:rPr>
  </w:style>
  <w:style w:type="character" w:styleId="836">
    <w:name w:val="Heading 5 Char"/>
    <w:basedOn w:val="850"/>
    <w:qFormat/>
    <w:rPr>
      <w:rFonts w:ascii="Arial" w:hAnsi="Arial" w:cs="Arial" w:eastAsia="Arial"/>
      <w:b/>
      <w:bCs/>
      <w:sz w:val="24"/>
      <w:szCs w:val="24"/>
    </w:rPr>
  </w:style>
  <w:style w:type="character" w:styleId="837">
    <w:name w:val="Heading 6 Char"/>
    <w:basedOn w:val="850"/>
    <w:qFormat/>
    <w:rPr>
      <w:rFonts w:ascii="Arial" w:hAnsi="Arial" w:cs="Arial" w:eastAsia="Arial"/>
      <w:b/>
      <w:bCs/>
      <w:sz w:val="22"/>
      <w:szCs w:val="22"/>
    </w:rPr>
  </w:style>
  <w:style w:type="character" w:styleId="838">
    <w:name w:val="Heading 7 Char"/>
    <w:basedOn w:val="850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39">
    <w:name w:val="Heading 8 Char"/>
    <w:basedOn w:val="850"/>
    <w:qFormat/>
    <w:rPr>
      <w:rFonts w:ascii="Arial" w:hAnsi="Arial" w:cs="Arial" w:eastAsia="Arial"/>
      <w:i/>
      <w:iCs/>
      <w:sz w:val="22"/>
      <w:szCs w:val="22"/>
    </w:rPr>
  </w:style>
  <w:style w:type="character" w:styleId="840">
    <w:name w:val="Heading 9 Char"/>
    <w:basedOn w:val="850"/>
    <w:qFormat/>
    <w:rPr>
      <w:rFonts w:ascii="Arial" w:hAnsi="Arial" w:cs="Arial" w:eastAsia="Arial"/>
      <w:i/>
      <w:iCs/>
      <w:sz w:val="21"/>
      <w:szCs w:val="21"/>
    </w:rPr>
  </w:style>
  <w:style w:type="character" w:styleId="841">
    <w:name w:val="Title Char"/>
    <w:basedOn w:val="850"/>
    <w:qFormat/>
    <w:rPr>
      <w:sz w:val="48"/>
      <w:szCs w:val="48"/>
    </w:rPr>
  </w:style>
  <w:style w:type="character" w:styleId="842">
    <w:name w:val="Subtitle Char"/>
    <w:basedOn w:val="850"/>
    <w:qFormat/>
    <w:rPr>
      <w:sz w:val="24"/>
      <w:szCs w:val="24"/>
    </w:rPr>
  </w:style>
  <w:style w:type="character" w:styleId="843">
    <w:name w:val="Quote Char"/>
    <w:qFormat/>
    <w:rPr>
      <w:i/>
    </w:rPr>
  </w:style>
  <w:style w:type="character" w:styleId="844">
    <w:name w:val="Intense Quote Char"/>
    <w:qFormat/>
    <w:rPr>
      <w:i/>
    </w:rPr>
  </w:style>
  <w:style w:type="character" w:styleId="845">
    <w:name w:val="Header Char"/>
    <w:basedOn w:val="850"/>
    <w:qFormat/>
  </w:style>
  <w:style w:type="character" w:styleId="846">
    <w:name w:val="Footer Char"/>
    <w:basedOn w:val="850"/>
    <w:qFormat/>
  </w:style>
  <w:style w:type="character" w:styleId="847">
    <w:name w:val="Caption Char"/>
    <w:qFormat/>
  </w:style>
  <w:style w:type="character" w:styleId="848">
    <w:name w:val="Footnote Text Char"/>
    <w:qFormat/>
    <w:rPr>
      <w:sz w:val="18"/>
    </w:rPr>
  </w:style>
  <w:style w:type="character" w:styleId="849">
    <w:name w:val="Endnote Text Char"/>
    <w:qFormat/>
    <w:rPr>
      <w:sz w:val="20"/>
    </w:rPr>
  </w:style>
  <w:style w:type="character" w:styleId="850" w:default="1">
    <w:name w:val="Default Paragraph Font"/>
    <w:qFormat/>
  </w:style>
  <w:style w:type="character" w:styleId="851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852">
    <w:name w:val="Strong"/>
    <w:qFormat/>
    <w:rPr>
      <w:b/>
      <w:bCs/>
    </w:rPr>
  </w:style>
  <w:style w:type="character" w:styleId="853">
    <w:name w:val="Посещённая гиперссылка"/>
    <w:basedOn w:val="850"/>
    <w:rPr>
      <w:color w:val="954F72"/>
      <w:u w:val="single"/>
    </w:rPr>
  </w:style>
  <w:style w:type="character" w:styleId="854">
    <w:name w:val="Текст выноски Знак"/>
    <w:basedOn w:val="850"/>
    <w:qFormat/>
    <w:rPr>
      <w:rFonts w:ascii="Tahoma" w:hAnsi="Tahoma" w:cs="Tahoma"/>
      <w:sz w:val="16"/>
      <w:szCs w:val="16"/>
    </w:rPr>
  </w:style>
  <w:style w:type="character" w:styleId="855">
    <w:name w:val="annotation reference"/>
    <w:basedOn w:val="850"/>
    <w:qFormat/>
    <w:rPr>
      <w:sz w:val="16"/>
      <w:szCs w:val="16"/>
    </w:rPr>
  </w:style>
  <w:style w:type="character" w:styleId="856">
    <w:name w:val="Текст примечания Знак"/>
    <w:basedOn w:val="850"/>
    <w:qFormat/>
    <w:rPr>
      <w:sz w:val="20"/>
      <w:szCs w:val="20"/>
    </w:rPr>
  </w:style>
  <w:style w:type="character" w:styleId="857">
    <w:name w:val="Тема примечания Знак"/>
    <w:basedOn w:val="856"/>
    <w:qFormat/>
    <w:rPr>
      <w:b/>
      <w:bCs/>
      <w:sz w:val="20"/>
      <w:szCs w:val="20"/>
    </w:rPr>
  </w:style>
  <w:style w:type="character" w:styleId="858">
    <w:name w:val="Выделение"/>
    <w:qFormat/>
    <w:rPr>
      <w:i/>
      <w:iCs/>
    </w:rPr>
  </w:style>
  <w:style w:type="character" w:styleId="859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860">
    <w:name w:val="WW8Num9z1"/>
    <w:qFormat/>
  </w:style>
  <w:style w:type="character" w:styleId="861">
    <w:name w:val="Символ нумерации"/>
    <w:qFormat/>
  </w:style>
  <w:style w:type="character" w:styleId="862">
    <w:name w:val="Выделение жирным"/>
    <w:qFormat/>
    <w:rPr>
      <w:b/>
      <w:bCs/>
    </w:rPr>
  </w:style>
  <w:style w:type="character" w:styleId="863">
    <w:name w:val="Маркеры"/>
    <w:qFormat/>
    <w:rPr>
      <w:rFonts w:ascii="OpenSymbol" w:hAnsi="OpenSymbol" w:cs="OpenSymbol" w:eastAsia="OpenSymbol"/>
    </w:rPr>
  </w:style>
  <w:style w:type="paragraph" w:styleId="864">
    <w:name w:val="Заголовок"/>
    <w:basedOn w:val="817"/>
    <w:next w:val="865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865">
    <w:name w:val="Body Text"/>
    <w:basedOn w:val="817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866">
    <w:name w:val="List"/>
    <w:basedOn w:val="865"/>
    <w:rPr>
      <w:rFonts w:cs="Noto Sans Devanagari"/>
    </w:rPr>
  </w:style>
  <w:style w:type="paragraph" w:styleId="867">
    <w:name w:val="Caption"/>
    <w:basedOn w:val="817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68">
    <w:name w:val="Указатель"/>
    <w:basedOn w:val="817"/>
    <w:qFormat/>
    <w:pPr>
      <w:suppressLineNumbers/>
    </w:pPr>
    <w:rPr>
      <w:rFonts w:cs="Noto Sans Devanagari"/>
    </w:rPr>
  </w:style>
  <w:style w:type="paragraph" w:styleId="869">
    <w:name w:val="List Paragraph"/>
    <w:basedOn w:val="817"/>
    <w:qFormat/>
    <w:pPr>
      <w:contextualSpacing/>
      <w:ind w:left="720" w:right="0" w:firstLine="0"/>
      <w:spacing w:before="0" w:after="160"/>
    </w:pPr>
  </w:style>
  <w:style w:type="paragraph" w:styleId="870">
    <w:name w:val="No Spacing"/>
    <w:qFormat/>
    <w:pPr>
      <w:jc w:val="left"/>
      <w:spacing w:before="0" w:after="0" w:line="240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71">
    <w:name w:val="Title"/>
    <w:basedOn w:val="817"/>
    <w:qFormat/>
    <w:pPr>
      <w:contextualSpacing/>
      <w:spacing w:before="300" w:after="200"/>
    </w:pPr>
    <w:rPr>
      <w:sz w:val="48"/>
      <w:szCs w:val="48"/>
    </w:rPr>
  </w:style>
  <w:style w:type="paragraph" w:styleId="872">
    <w:name w:val="Subtitle"/>
    <w:basedOn w:val="817"/>
    <w:qFormat/>
    <w:pPr>
      <w:spacing w:before="200" w:after="200"/>
    </w:pPr>
    <w:rPr>
      <w:sz w:val="24"/>
      <w:szCs w:val="24"/>
    </w:rPr>
  </w:style>
  <w:style w:type="paragraph" w:styleId="873">
    <w:name w:val="Quote"/>
    <w:basedOn w:val="817"/>
    <w:qFormat/>
    <w:pPr>
      <w:ind w:left="720" w:right="720" w:firstLine="0"/>
    </w:pPr>
    <w:rPr>
      <w:i/>
    </w:rPr>
  </w:style>
  <w:style w:type="paragraph" w:styleId="874">
    <w:name w:val="Intense Quote"/>
    <w:basedOn w:val="817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5">
    <w:name w:val="Колонтитул"/>
    <w:basedOn w:val="817"/>
    <w:qFormat/>
  </w:style>
  <w:style w:type="paragraph" w:styleId="876">
    <w:name w:val="Header"/>
    <w:basedOn w:val="81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7">
    <w:name w:val="Footer"/>
    <w:basedOn w:val="81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8">
    <w:name w:val="footnote text"/>
    <w:basedOn w:val="817"/>
    <w:pPr>
      <w:spacing w:before="0" w:after="40" w:line="240" w:lineRule="auto"/>
    </w:pPr>
    <w:rPr>
      <w:sz w:val="18"/>
    </w:rPr>
  </w:style>
  <w:style w:type="paragraph" w:styleId="879">
    <w:name w:val="endnote text"/>
    <w:basedOn w:val="817"/>
    <w:pPr>
      <w:spacing w:before="0" w:after="0" w:line="240" w:lineRule="auto"/>
    </w:pPr>
    <w:rPr>
      <w:sz w:val="20"/>
    </w:rPr>
  </w:style>
  <w:style w:type="paragraph" w:styleId="880">
    <w:name w:val="toc 1"/>
    <w:basedOn w:val="817"/>
    <w:pPr>
      <w:ind w:left="0" w:right="0" w:firstLine="0"/>
      <w:spacing w:before="0" w:after="57"/>
    </w:pPr>
  </w:style>
  <w:style w:type="paragraph" w:styleId="881">
    <w:name w:val="toc 2"/>
    <w:basedOn w:val="817"/>
    <w:pPr>
      <w:ind w:left="283" w:right="0" w:firstLine="0"/>
      <w:spacing w:before="0" w:after="57"/>
    </w:pPr>
  </w:style>
  <w:style w:type="paragraph" w:styleId="882">
    <w:name w:val="toc 3"/>
    <w:basedOn w:val="817"/>
    <w:pPr>
      <w:ind w:left="567" w:right="0" w:firstLine="0"/>
      <w:spacing w:before="0" w:after="57"/>
    </w:pPr>
  </w:style>
  <w:style w:type="paragraph" w:styleId="883">
    <w:name w:val="toc 4"/>
    <w:basedOn w:val="817"/>
    <w:pPr>
      <w:ind w:left="850" w:right="0" w:firstLine="0"/>
      <w:spacing w:before="0" w:after="57"/>
    </w:pPr>
  </w:style>
  <w:style w:type="paragraph" w:styleId="884">
    <w:name w:val="toc 5"/>
    <w:basedOn w:val="817"/>
    <w:pPr>
      <w:ind w:left="1134" w:right="0" w:firstLine="0"/>
      <w:spacing w:before="0" w:after="57"/>
    </w:pPr>
  </w:style>
  <w:style w:type="paragraph" w:styleId="885">
    <w:name w:val="toc 6"/>
    <w:basedOn w:val="817"/>
    <w:pPr>
      <w:ind w:left="1417" w:right="0" w:firstLine="0"/>
      <w:spacing w:before="0" w:after="57"/>
    </w:pPr>
  </w:style>
  <w:style w:type="paragraph" w:styleId="886">
    <w:name w:val="toc 7"/>
    <w:basedOn w:val="817"/>
    <w:pPr>
      <w:ind w:left="1701" w:right="0" w:firstLine="0"/>
      <w:spacing w:before="0" w:after="57"/>
    </w:pPr>
  </w:style>
  <w:style w:type="paragraph" w:styleId="887">
    <w:name w:val="toc 8"/>
    <w:basedOn w:val="817"/>
    <w:pPr>
      <w:ind w:left="1984" w:right="0" w:firstLine="0"/>
      <w:spacing w:before="0" w:after="57"/>
    </w:pPr>
  </w:style>
  <w:style w:type="paragraph" w:styleId="888">
    <w:name w:val="toc 9"/>
    <w:basedOn w:val="817"/>
    <w:pPr>
      <w:ind w:left="2268" w:right="0" w:firstLine="0"/>
      <w:spacing w:before="0" w:after="57"/>
    </w:pPr>
  </w:style>
  <w:style w:type="paragraph" w:styleId="889">
    <w:name w:val="TOC Heading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90">
    <w:name w:val="table of figures"/>
    <w:basedOn w:val="817"/>
    <w:qFormat/>
    <w:pPr>
      <w:spacing w:before="0" w:after="0"/>
    </w:pPr>
  </w:style>
  <w:style w:type="paragraph" w:styleId="891">
    <w:name w:val="Мой обычный"/>
    <w:basedOn w:val="817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892">
    <w:name w:val="Balloon Text"/>
    <w:basedOn w:val="817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3">
    <w:name w:val="annotation text"/>
    <w:basedOn w:val="817"/>
    <w:qFormat/>
    <w:pPr>
      <w:spacing w:line="240" w:lineRule="auto"/>
    </w:pPr>
    <w:rPr>
      <w:sz w:val="20"/>
      <w:szCs w:val="20"/>
    </w:rPr>
  </w:style>
  <w:style w:type="paragraph" w:styleId="894">
    <w:name w:val="annotation subject"/>
    <w:basedOn w:val="893"/>
    <w:qFormat/>
    <w:rPr>
      <w:b/>
      <w:bCs/>
    </w:rPr>
  </w:style>
  <w:style w:type="paragraph" w:styleId="895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6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7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8">
    <w:name w:val="Обычный (веб)"/>
    <w:basedOn w:val="817"/>
    <w:qFormat/>
    <w:pPr>
      <w:spacing w:before="280" w:after="280"/>
    </w:pPr>
  </w:style>
  <w:style w:type="paragraph" w:styleId="899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900">
    <w:name w:val="Содержимое таблицы"/>
    <w:basedOn w:val="817"/>
    <w:qFormat/>
    <w:pPr>
      <w:widowControl w:val="off"/>
      <w:suppressLineNumbers/>
    </w:pPr>
  </w:style>
  <w:style w:type="paragraph" w:styleId="901">
    <w:name w:val="Заголовок таблицы"/>
    <w:basedOn w:val="900"/>
    <w:qFormat/>
    <w:pPr>
      <w:jc w:val="center"/>
      <w:suppressLineNumbers/>
    </w:pPr>
    <w:rPr>
      <w:b/>
      <w:bCs/>
    </w:rPr>
  </w:style>
  <w:style w:type="numbering" w:styleId="902" w:default="1">
    <w:name w:val="No List"/>
    <w:qFormat/>
  </w:style>
  <w:style w:type="numbering" w:styleId="903">
    <w:name w:val="WW8Num9"/>
    <w:qFormat/>
  </w:style>
  <w:style w:type="table" w:styleId="904" w:default="1">
    <w:name w:val="Normal Table"/>
    <w:uiPriority w:val="99"/>
    <w:semiHidden/>
    <w:unhideWhenUsed/>
    <w:tblPr/>
  </w:style>
  <w:style w:type="paragraph" w:styleId="905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0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29</cp:revision>
  <dcterms:created xsi:type="dcterms:W3CDTF">2021-02-06T12:59:00Z</dcterms:created>
  <dcterms:modified xsi:type="dcterms:W3CDTF">2022-04-06T11:04:21Z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